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E1D" w:rsidRPr="00EA2D8B" w:rsidRDefault="00524E1D" w:rsidP="001D6862">
      <w:pPr>
        <w:spacing w:before="0" w:after="0" w:line="19" w:lineRule="atLeast"/>
        <w:jc w:val="center"/>
        <w:rPr>
          <w:rFonts w:ascii="Tahoma" w:hAnsi="Tahoma" w:cs="Tahoma"/>
          <w:b/>
        </w:rPr>
      </w:pPr>
      <w:bookmarkStart w:id="0" w:name="_GoBack"/>
      <w:bookmarkEnd w:id="0"/>
      <w:r w:rsidRPr="00EA2D8B">
        <w:rPr>
          <w:rFonts w:ascii="Tahoma" w:hAnsi="Tahoma" w:cs="Tahoma"/>
          <w:b/>
        </w:rPr>
        <w:t>INFORME FISCAL Y FINANCIERO</w:t>
      </w:r>
    </w:p>
    <w:p w:rsidR="00524E1D" w:rsidRPr="00EA2D8B"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73240B">
        <w:rPr>
          <w:rFonts w:ascii="Tahoma" w:hAnsi="Tahoma" w:cs="Tahoma"/>
          <w:b/>
        </w:rPr>
        <w:t>CASABIANCA</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Pr="009D4B99">
        <w:rPr>
          <w:rFonts w:ascii="Tahoma" w:hAnsi="Tahoma" w:cs="Tahoma"/>
          <w:b w:val="0"/>
          <w:sz w:val="22"/>
          <w:szCs w:val="22"/>
        </w:rPr>
        <w:t xml:space="preserve">, estableciendo un </w:t>
      </w:r>
      <w:r>
        <w:rPr>
          <w:rFonts w:ascii="Tahoma" w:hAnsi="Tahoma" w:cs="Tahoma"/>
          <w:b w:val="0"/>
          <w:sz w:val="22"/>
          <w:szCs w:val="22"/>
        </w:rPr>
        <w:t>comparativo con la vigencia 2014.</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73240B">
        <w:rPr>
          <w:rFonts w:ascii="Tahoma" w:hAnsi="Tahoma" w:cs="Tahoma"/>
          <w:color w:val="auto"/>
        </w:rPr>
        <w:t>Casabianca</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00AD0C4B" w:rsidRPr="00231ECA">
        <w:rPr>
          <w:rFonts w:ascii="Tahoma" w:hAnsi="Tahoma" w:cs="Tahoma"/>
          <w:color w:val="auto"/>
        </w:rPr>
        <w:t xml:space="preserve"> </w:t>
      </w:r>
      <w:r w:rsidR="007F40C8" w:rsidRPr="00231ECA">
        <w:rPr>
          <w:rFonts w:ascii="Tahoma" w:hAnsi="Tahoma" w:cs="Tahoma"/>
          <w:color w:val="auto"/>
        </w:rPr>
        <w:t>01</w:t>
      </w:r>
      <w:r w:rsidR="00A836B4">
        <w:rPr>
          <w:rFonts w:ascii="Tahoma" w:hAnsi="Tahoma" w:cs="Tahoma"/>
          <w:color w:val="auto"/>
        </w:rPr>
        <w:t>7</w:t>
      </w:r>
      <w:r w:rsidR="007F40C8" w:rsidRPr="00231ECA">
        <w:rPr>
          <w:rFonts w:ascii="Tahoma" w:hAnsi="Tahoma" w:cs="Tahoma"/>
          <w:color w:val="auto"/>
        </w:rPr>
        <w:t xml:space="preserve"> </w:t>
      </w:r>
      <w:r w:rsidRPr="00231ECA">
        <w:rPr>
          <w:rFonts w:ascii="Tahoma" w:hAnsi="Tahoma" w:cs="Tahoma"/>
          <w:color w:val="auto"/>
        </w:rPr>
        <w:t>de</w:t>
      </w:r>
      <w:r w:rsidR="007F40C8" w:rsidRPr="00231ECA">
        <w:rPr>
          <w:rFonts w:ascii="Tahoma" w:hAnsi="Tahoma" w:cs="Tahoma"/>
          <w:color w:val="auto"/>
        </w:rPr>
        <w:t xml:space="preserve">l </w:t>
      </w:r>
      <w:r w:rsidR="00A836B4">
        <w:rPr>
          <w:rFonts w:ascii="Tahoma" w:hAnsi="Tahoma" w:cs="Tahoma"/>
          <w:color w:val="auto"/>
        </w:rPr>
        <w:t>30</w:t>
      </w:r>
      <w:r w:rsidR="007F40C8" w:rsidRPr="00231ECA">
        <w:rPr>
          <w:rFonts w:ascii="Tahoma" w:hAnsi="Tahoma" w:cs="Tahoma"/>
          <w:color w:val="auto"/>
        </w:rPr>
        <w:t xml:space="preserve"> de</w:t>
      </w:r>
      <w:r w:rsidR="006D7C83" w:rsidRPr="00231ECA">
        <w:rPr>
          <w:rFonts w:ascii="Tahoma" w:hAnsi="Tahoma" w:cs="Tahoma"/>
          <w:color w:val="auto"/>
        </w:rPr>
        <w:t xml:space="preserve"> </w:t>
      </w:r>
      <w:r w:rsidR="00A836B4">
        <w:rPr>
          <w:rFonts w:ascii="Tahoma" w:hAnsi="Tahoma" w:cs="Tahoma"/>
          <w:color w:val="auto"/>
        </w:rPr>
        <w:t>Novie</w:t>
      </w:r>
      <w:r w:rsidR="00302682" w:rsidRPr="00231ECA">
        <w:rPr>
          <w:rFonts w:ascii="Tahoma" w:hAnsi="Tahoma" w:cs="Tahoma"/>
          <w:color w:val="auto"/>
        </w:rPr>
        <w:t xml:space="preserve">mbre </w:t>
      </w:r>
      <w:r w:rsidR="007F40C8" w:rsidRPr="00231ECA">
        <w:rPr>
          <w:rFonts w:ascii="Tahoma" w:hAnsi="Tahoma" w:cs="Tahoma"/>
          <w:color w:val="auto"/>
        </w:rPr>
        <w:t>de</w:t>
      </w:r>
      <w:r w:rsidR="006D7C83" w:rsidRPr="00231ECA">
        <w:rPr>
          <w:rFonts w:ascii="Tahoma" w:hAnsi="Tahoma" w:cs="Tahoma"/>
          <w:color w:val="auto"/>
        </w:rPr>
        <w:t xml:space="preserve"> 201</w:t>
      </w:r>
      <w:r w:rsidR="00AD0C4B" w:rsidRPr="00231ECA">
        <w:rPr>
          <w:rFonts w:ascii="Tahoma" w:hAnsi="Tahoma" w:cs="Tahoma"/>
          <w:color w:val="auto"/>
        </w:rPr>
        <w:t>4</w:t>
      </w:r>
      <w:r w:rsidR="006D7C83" w:rsidRPr="00231ECA">
        <w:rPr>
          <w:rFonts w:ascii="Tahoma" w:hAnsi="Tahoma" w:cs="Tahoma"/>
          <w:color w:val="auto"/>
        </w:rPr>
        <w:t xml:space="preserve"> </w:t>
      </w:r>
      <w:r w:rsidR="00EC36EF" w:rsidRPr="00231ECA">
        <w:rPr>
          <w:rFonts w:ascii="Tahoma" w:hAnsi="Tahoma" w:cs="Tahoma"/>
          <w:color w:val="auto"/>
        </w:rPr>
        <w:t>y liquidado por el Alcalde Mun</w:t>
      </w:r>
      <w:r w:rsidR="007F40C8" w:rsidRPr="00231ECA">
        <w:rPr>
          <w:rFonts w:ascii="Tahoma" w:hAnsi="Tahoma" w:cs="Tahoma"/>
          <w:color w:val="auto"/>
        </w:rPr>
        <w:t xml:space="preserve">icipal mediante Decreto número </w:t>
      </w:r>
      <w:r w:rsidR="00165CAF">
        <w:rPr>
          <w:rFonts w:ascii="Tahoma" w:hAnsi="Tahoma" w:cs="Tahoma"/>
          <w:color w:val="auto"/>
        </w:rPr>
        <w:t>065</w:t>
      </w:r>
      <w:r w:rsidR="00EC36EF" w:rsidRPr="00231ECA">
        <w:rPr>
          <w:rFonts w:ascii="Tahoma" w:hAnsi="Tahoma" w:cs="Tahoma"/>
          <w:color w:val="auto"/>
        </w:rPr>
        <w:t xml:space="preserve">   del </w:t>
      </w:r>
      <w:r w:rsidR="00A836B4">
        <w:rPr>
          <w:rFonts w:ascii="Tahoma" w:hAnsi="Tahoma" w:cs="Tahoma"/>
          <w:color w:val="auto"/>
        </w:rPr>
        <w:t>1</w:t>
      </w:r>
      <w:r w:rsidR="00165CAF">
        <w:rPr>
          <w:rFonts w:ascii="Tahoma" w:hAnsi="Tahoma" w:cs="Tahoma"/>
          <w:color w:val="auto"/>
        </w:rPr>
        <w:t>0</w:t>
      </w:r>
      <w:r w:rsidR="00EC36EF" w:rsidRPr="00231ECA">
        <w:rPr>
          <w:rFonts w:ascii="Tahoma" w:hAnsi="Tahoma" w:cs="Tahoma"/>
          <w:color w:val="auto"/>
        </w:rPr>
        <w:t xml:space="preserve"> de Diciembre de 2014, </w:t>
      </w:r>
      <w:r w:rsidR="006A0F41" w:rsidRPr="00231ECA">
        <w:rPr>
          <w:rFonts w:ascii="Tahoma" w:hAnsi="Tahoma" w:cs="Tahoma"/>
          <w:color w:val="auto"/>
        </w:rPr>
        <w:t>en la suma de</w:t>
      </w:r>
      <w:r w:rsidR="006A0F41" w:rsidRPr="00231ECA">
        <w:rPr>
          <w:rFonts w:ascii="Tahoma" w:hAnsi="Tahoma" w:cs="Tahoma"/>
          <w:b/>
          <w:color w:val="auto"/>
        </w:rPr>
        <w:t xml:space="preserve">  </w:t>
      </w:r>
      <w:r w:rsidR="00165CAF">
        <w:rPr>
          <w:rFonts w:ascii="Tahoma" w:hAnsi="Tahoma" w:cs="Tahoma"/>
          <w:b/>
          <w:color w:val="auto"/>
        </w:rPr>
        <w:t>CINCO</w:t>
      </w:r>
      <w:r w:rsidR="006A0F41" w:rsidRPr="00231ECA">
        <w:rPr>
          <w:rFonts w:ascii="Tahoma" w:hAnsi="Tahoma" w:cs="Tahoma"/>
          <w:b/>
          <w:color w:val="auto"/>
        </w:rPr>
        <w:t xml:space="preserve"> MIL </w:t>
      </w:r>
      <w:r w:rsidR="00165CAF">
        <w:rPr>
          <w:rFonts w:ascii="Tahoma" w:hAnsi="Tahoma" w:cs="Tahoma"/>
          <w:b/>
          <w:color w:val="auto"/>
        </w:rPr>
        <w:t>CUATROSCIENTOS</w:t>
      </w:r>
      <w:r w:rsidR="006A0F41" w:rsidRPr="00231ECA">
        <w:rPr>
          <w:rFonts w:ascii="Tahoma" w:hAnsi="Tahoma" w:cs="Tahoma"/>
          <w:b/>
          <w:color w:val="auto"/>
        </w:rPr>
        <w:t xml:space="preserve"> </w:t>
      </w:r>
      <w:r w:rsidR="00165CAF">
        <w:rPr>
          <w:rFonts w:ascii="Tahoma" w:hAnsi="Tahoma" w:cs="Tahoma"/>
          <w:b/>
          <w:color w:val="auto"/>
        </w:rPr>
        <w:t xml:space="preserve">CUATRO </w:t>
      </w:r>
      <w:r w:rsidR="006A0F41" w:rsidRPr="00231ECA">
        <w:rPr>
          <w:rFonts w:ascii="Tahoma" w:hAnsi="Tahoma" w:cs="Tahoma"/>
          <w:b/>
          <w:color w:val="auto"/>
        </w:rPr>
        <w:t xml:space="preserve">MILLONES </w:t>
      </w:r>
      <w:r w:rsidR="00165CAF">
        <w:rPr>
          <w:rFonts w:ascii="Tahoma" w:hAnsi="Tahoma" w:cs="Tahoma"/>
          <w:b/>
          <w:color w:val="auto"/>
        </w:rPr>
        <w:t xml:space="preserve">DOSCIENTOS CINCUENTA Y SEIS MIL TRESCIENTOS SETENTA Y OCHO PESOS M/CTE </w:t>
      </w:r>
      <w:r w:rsidR="006A0F41" w:rsidRPr="00231ECA">
        <w:rPr>
          <w:rFonts w:ascii="Tahoma" w:hAnsi="Tahoma" w:cs="Tahoma"/>
          <w:b/>
          <w:color w:val="auto"/>
        </w:rPr>
        <w:t>($</w:t>
      </w:r>
      <w:r w:rsidR="00165CAF">
        <w:rPr>
          <w:rFonts w:ascii="Tahoma" w:hAnsi="Tahoma" w:cs="Tahoma"/>
          <w:b/>
          <w:color w:val="auto"/>
        </w:rPr>
        <w:t>5.404.256.378</w:t>
      </w:r>
      <w:r w:rsidR="00C8709C">
        <w:rPr>
          <w:rFonts w:ascii="Tahoma" w:hAnsi="Tahoma" w:cs="Tahoma"/>
          <w:b/>
          <w:color w:val="auto"/>
        </w:rPr>
        <w:t>.</w:t>
      </w:r>
      <w:r w:rsidR="006A0F41" w:rsidRPr="00231ECA">
        <w:rPr>
          <w:rFonts w:ascii="Tahoma" w:hAnsi="Tahoma" w:cs="Tahoma"/>
          <w:b/>
          <w:color w:val="auto"/>
        </w:rPr>
        <w:t>oo).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5C0DCB" w:rsidRPr="00231ECA" w:rsidRDefault="005C0DCB" w:rsidP="005C0DCB">
      <w:pPr>
        <w:tabs>
          <w:tab w:val="left" w:pos="7907"/>
        </w:tabs>
        <w:spacing w:before="0" w:after="0" w:line="228" w:lineRule="auto"/>
        <w:jc w:val="both"/>
        <w:rPr>
          <w:rFonts w:ascii="Tahoma" w:hAnsi="Tahoma" w:cs="Tahoma"/>
        </w:rPr>
      </w:pPr>
    </w:p>
    <w:p w:rsidR="009848DF" w:rsidRPr="00231ECA" w:rsidRDefault="009848DF" w:rsidP="005C0DCB">
      <w:pPr>
        <w:tabs>
          <w:tab w:val="left" w:pos="7907"/>
        </w:tabs>
        <w:spacing w:before="0" w:after="0" w:line="228" w:lineRule="auto"/>
        <w:jc w:val="both"/>
        <w:rPr>
          <w:rFonts w:ascii="Tahoma" w:hAnsi="Tahoma" w:cs="Tahoma"/>
        </w:rPr>
      </w:pPr>
    </w:p>
    <w:p w:rsidR="009848DF" w:rsidRDefault="009848DF" w:rsidP="005C0DCB">
      <w:pPr>
        <w:tabs>
          <w:tab w:val="left" w:pos="7907"/>
        </w:tabs>
        <w:spacing w:before="0" w:after="0" w:line="228" w:lineRule="auto"/>
        <w:jc w:val="both"/>
        <w:rPr>
          <w:rFonts w:ascii="Tahoma" w:hAnsi="Tahoma" w:cs="Tahoma"/>
        </w:rPr>
      </w:pPr>
    </w:p>
    <w:p w:rsidR="00CB6D39" w:rsidRDefault="00CB6D39" w:rsidP="00DF6119">
      <w:pPr>
        <w:spacing w:before="0" w:after="0" w:line="228" w:lineRule="auto"/>
        <w:jc w:val="both"/>
        <w:rPr>
          <w:rFonts w:ascii="Tahoma" w:hAnsi="Tahoma" w:cs="Tahoma"/>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Pr="009F5AC9" w:rsidRDefault="008445AE" w:rsidP="009848DF">
      <w:pPr>
        <w:tabs>
          <w:tab w:val="left" w:pos="2835"/>
        </w:tabs>
        <w:spacing w:before="0" w:after="0" w:line="19" w:lineRule="atLeast"/>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8F0563">
        <w:rPr>
          <w:rFonts w:ascii="Tahoma" w:hAnsi="Tahoma" w:cs="Tahoma"/>
        </w:rPr>
        <w:t>Casabianca</w:t>
      </w:r>
      <w:r w:rsidR="009848DF">
        <w:rPr>
          <w:rFonts w:ascii="Tahoma" w:hAnsi="Tahoma" w:cs="Tahoma"/>
        </w:rPr>
        <w:t xml:space="preserve">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A3510C" w:rsidRPr="00231ECA">
        <w:rPr>
          <w:rFonts w:ascii="Tahoma" w:hAnsi="Tahoma" w:cs="Tahoma"/>
          <w:b/>
          <w:color w:val="auto"/>
        </w:rPr>
        <w:t>$</w:t>
      </w:r>
      <w:r w:rsidR="00A3510C">
        <w:rPr>
          <w:rFonts w:ascii="Tahoma" w:hAnsi="Tahoma" w:cs="Tahoma"/>
          <w:b/>
          <w:color w:val="auto"/>
        </w:rPr>
        <w:t>5.404.256.378.</w:t>
      </w:r>
      <w:r w:rsidR="00A3510C" w:rsidRPr="00231ECA">
        <w:rPr>
          <w:rFonts w:ascii="Tahoma" w:hAnsi="Tahoma" w:cs="Tahoma"/>
          <w:b/>
          <w:color w:val="auto"/>
        </w:rPr>
        <w:t>oo</w:t>
      </w:r>
      <w:r w:rsidR="009848DF" w:rsidRPr="00CA669B">
        <w:rPr>
          <w:rFonts w:ascii="Tahoma" w:hAnsi="Tahoma" w:cs="Tahoma"/>
          <w:b/>
          <w:color w:val="auto"/>
        </w:rPr>
        <w:t>,</w:t>
      </w:r>
      <w:r w:rsidR="009848DF">
        <w:rPr>
          <w:rFonts w:ascii="Tahoma" w:hAnsi="Tahoma" w:cs="Tahoma"/>
          <w:b/>
          <w:color w:val="auto"/>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DD2AEB">
        <w:rPr>
          <w:rFonts w:ascii="Tahoma" w:hAnsi="Tahoma" w:cs="Tahoma"/>
          <w:color w:val="auto"/>
        </w:rPr>
        <w:t>7.340.621.371.oo y reducciones por $444.405.511.oo</w:t>
      </w:r>
      <w:r w:rsidR="009F5AC9">
        <w:rPr>
          <w:rFonts w:ascii="Tahoma" w:eastAsia="Times New Roman" w:hAnsi="Tahoma" w:cs="Tahoma"/>
          <w:bCs/>
          <w:color w:val="auto"/>
        </w:rPr>
        <w:t>,</w:t>
      </w:r>
      <w:r w:rsidR="00DA6502">
        <w:rPr>
          <w:rFonts w:ascii="Tahoma" w:eastAsia="Times New Roman" w:hAnsi="Tahoma" w:cs="Tahoma"/>
          <w:bCs/>
          <w:color w:val="auto"/>
        </w:rPr>
        <w:t xml:space="preserve"> para un presupuesto definitivo a Diciembre 31 de 2015 de </w:t>
      </w:r>
      <w:r w:rsidR="00DA6502" w:rsidRPr="009F5AC9">
        <w:rPr>
          <w:rFonts w:ascii="Tahoma" w:eastAsia="Times New Roman" w:hAnsi="Tahoma" w:cs="Tahoma"/>
          <w:b/>
          <w:bCs/>
          <w:color w:val="auto"/>
        </w:rPr>
        <w:t>$</w:t>
      </w:r>
      <w:r w:rsidR="00DD2AEB">
        <w:rPr>
          <w:rFonts w:ascii="Tahoma" w:eastAsia="Times New Roman" w:hAnsi="Tahoma" w:cs="Tahoma"/>
          <w:b/>
          <w:bCs/>
          <w:color w:val="auto"/>
        </w:rPr>
        <w:t>12.300.472.238.oo</w:t>
      </w:r>
      <w:r w:rsidR="008B0625" w:rsidRPr="009F5AC9">
        <w:rPr>
          <w:rFonts w:ascii="Tahoma" w:eastAsia="Times New Roman" w:hAnsi="Tahoma" w:cs="Tahoma"/>
          <w:b/>
          <w:bCs/>
          <w:color w:val="auto"/>
        </w:rPr>
        <w:t>.</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ook w:val="04A0" w:firstRow="1" w:lastRow="0" w:firstColumn="1" w:lastColumn="0" w:noHBand="0" w:noVBand="1"/>
      </w:tblPr>
      <w:tblGrid>
        <w:gridCol w:w="2264"/>
        <w:gridCol w:w="1848"/>
        <w:gridCol w:w="2287"/>
        <w:gridCol w:w="2658"/>
      </w:tblGrid>
      <w:tr w:rsidR="008B0625" w:rsidRPr="00BA1DE4" w:rsidTr="00CB6457">
        <w:trPr>
          <w:trHeight w:val="327"/>
        </w:trPr>
        <w:tc>
          <w:tcPr>
            <w:tcW w:w="2264"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INICIAL</w:t>
            </w:r>
          </w:p>
        </w:tc>
        <w:tc>
          <w:tcPr>
            <w:tcW w:w="1848"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ADICIONES</w:t>
            </w:r>
          </w:p>
        </w:tc>
        <w:tc>
          <w:tcPr>
            <w:tcW w:w="2287"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REDUCCIONES</w:t>
            </w:r>
          </w:p>
        </w:tc>
        <w:tc>
          <w:tcPr>
            <w:tcW w:w="2658" w:type="dxa"/>
          </w:tcPr>
          <w:p w:rsidR="008B0625" w:rsidRPr="00BA1DE4" w:rsidRDefault="008B0625" w:rsidP="00511C4D">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DEFINITIVO</w:t>
            </w:r>
          </w:p>
        </w:tc>
      </w:tr>
      <w:tr w:rsidR="008B0625" w:rsidRPr="00BA1DE4" w:rsidTr="00CB6457">
        <w:trPr>
          <w:trHeight w:val="551"/>
        </w:trPr>
        <w:tc>
          <w:tcPr>
            <w:tcW w:w="2264" w:type="dxa"/>
          </w:tcPr>
          <w:p w:rsidR="008B0625" w:rsidRPr="00DD2AEB" w:rsidRDefault="00DD2AEB" w:rsidP="00511C4D">
            <w:pPr>
              <w:tabs>
                <w:tab w:val="left" w:pos="2835"/>
              </w:tabs>
              <w:spacing w:before="0" w:line="19" w:lineRule="atLeast"/>
              <w:jc w:val="right"/>
              <w:rPr>
                <w:rFonts w:ascii="Tahoma" w:eastAsia="Times New Roman" w:hAnsi="Tahoma" w:cs="Tahoma"/>
                <w:bCs/>
                <w:color w:val="auto"/>
                <w:sz w:val="18"/>
                <w:szCs w:val="18"/>
                <w:vertAlign w:val="subscript"/>
              </w:rPr>
            </w:pPr>
            <w:r w:rsidRPr="00DD2AEB">
              <w:rPr>
                <w:rFonts w:ascii="Tahoma" w:hAnsi="Tahoma" w:cs="Tahoma"/>
                <w:color w:val="auto"/>
                <w:sz w:val="18"/>
                <w:szCs w:val="18"/>
              </w:rPr>
              <w:t>$5.404.256.378.oo</w:t>
            </w:r>
          </w:p>
        </w:tc>
        <w:tc>
          <w:tcPr>
            <w:tcW w:w="1848" w:type="dxa"/>
          </w:tcPr>
          <w:p w:rsidR="008B0625" w:rsidRPr="00DD2AEB" w:rsidRDefault="00DD2AEB" w:rsidP="00511C4D">
            <w:pPr>
              <w:tabs>
                <w:tab w:val="left" w:pos="2835"/>
              </w:tabs>
              <w:spacing w:before="0" w:line="19" w:lineRule="atLeast"/>
              <w:jc w:val="right"/>
              <w:rPr>
                <w:rFonts w:ascii="Tahoma" w:eastAsia="Times New Roman" w:hAnsi="Tahoma" w:cs="Tahoma"/>
                <w:bCs/>
                <w:color w:val="auto"/>
                <w:sz w:val="18"/>
                <w:szCs w:val="18"/>
                <w:vertAlign w:val="subscript"/>
              </w:rPr>
            </w:pPr>
            <w:r w:rsidRPr="00DD2AEB">
              <w:rPr>
                <w:rFonts w:ascii="Tahoma" w:hAnsi="Tahoma" w:cs="Tahoma"/>
                <w:color w:val="auto"/>
                <w:sz w:val="18"/>
                <w:szCs w:val="18"/>
              </w:rPr>
              <w:t>$7.340.621.371.oo</w:t>
            </w:r>
          </w:p>
        </w:tc>
        <w:tc>
          <w:tcPr>
            <w:tcW w:w="2287" w:type="dxa"/>
          </w:tcPr>
          <w:p w:rsidR="008B0625" w:rsidRPr="00DD2AEB" w:rsidRDefault="00DD2AEB" w:rsidP="009F5AC9">
            <w:pPr>
              <w:tabs>
                <w:tab w:val="left" w:pos="2835"/>
              </w:tabs>
              <w:spacing w:before="0" w:line="19" w:lineRule="atLeast"/>
              <w:jc w:val="center"/>
              <w:rPr>
                <w:rFonts w:ascii="Tahoma" w:eastAsia="Times New Roman" w:hAnsi="Tahoma" w:cs="Tahoma"/>
                <w:bCs/>
                <w:color w:val="auto"/>
                <w:sz w:val="18"/>
                <w:szCs w:val="18"/>
                <w:vertAlign w:val="subscript"/>
              </w:rPr>
            </w:pPr>
            <w:r w:rsidRPr="00DD2AEB">
              <w:rPr>
                <w:rFonts w:ascii="Tahoma" w:hAnsi="Tahoma" w:cs="Tahoma"/>
                <w:color w:val="auto"/>
                <w:sz w:val="18"/>
                <w:szCs w:val="18"/>
              </w:rPr>
              <w:t>$444.405.511.oo</w:t>
            </w:r>
          </w:p>
        </w:tc>
        <w:tc>
          <w:tcPr>
            <w:tcW w:w="2658" w:type="dxa"/>
          </w:tcPr>
          <w:p w:rsidR="008B0625" w:rsidRPr="00DD2AEB" w:rsidRDefault="00DD2AEB" w:rsidP="00DD2AEB">
            <w:pPr>
              <w:tabs>
                <w:tab w:val="left" w:pos="2835"/>
              </w:tabs>
              <w:spacing w:before="0" w:line="19" w:lineRule="atLeast"/>
              <w:jc w:val="right"/>
              <w:rPr>
                <w:rFonts w:ascii="Tahoma" w:eastAsia="Times New Roman" w:hAnsi="Tahoma" w:cs="Tahoma"/>
                <w:bCs/>
                <w:color w:val="auto"/>
                <w:sz w:val="18"/>
                <w:szCs w:val="18"/>
                <w:vertAlign w:val="subscript"/>
              </w:rPr>
            </w:pPr>
            <w:r w:rsidRPr="00DD2AEB">
              <w:rPr>
                <w:rFonts w:ascii="Tahoma" w:eastAsia="Times New Roman" w:hAnsi="Tahoma" w:cs="Tahoma"/>
                <w:bCs/>
                <w:color w:val="auto"/>
                <w:sz w:val="18"/>
                <w:szCs w:val="18"/>
              </w:rPr>
              <w:t>$12.300.472.238.oo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9F5AC9"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179F1259" wp14:editId="4C8F9EAC">
            <wp:extent cx="5097780" cy="3108960"/>
            <wp:effectExtent l="0" t="0" r="26670" b="1524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4CD9" w:rsidRDefault="00054CD9" w:rsidP="009A7AA1">
      <w:pPr>
        <w:jc w:val="both"/>
        <w:rPr>
          <w:rFonts w:ascii="Tahoma" w:eastAsia="Times New Roman" w:hAnsi="Tahoma" w:cs="Tahoma"/>
          <w:bCs/>
          <w:color w:val="auto"/>
        </w:rPr>
      </w:pPr>
    </w:p>
    <w:p w:rsidR="00F8609F" w:rsidRDefault="00F8609F" w:rsidP="009A7AA1">
      <w:pPr>
        <w:jc w:val="both"/>
        <w:rPr>
          <w:rFonts w:ascii="Tahoma" w:eastAsia="Times New Roman" w:hAnsi="Tahoma" w:cs="Tahoma"/>
          <w:color w:val="auto"/>
        </w:rPr>
      </w:pPr>
    </w:p>
    <w:p w:rsidR="00231ECA" w:rsidRDefault="00231ECA" w:rsidP="00685EF4">
      <w:pPr>
        <w:rPr>
          <w:rFonts w:ascii="Tahoma" w:eastAsia="Times New Roman" w:hAnsi="Tahoma" w:cs="Tahoma"/>
          <w:b/>
          <w:color w:val="auto"/>
        </w:rPr>
      </w:pPr>
    </w:p>
    <w:p w:rsidR="00231ECA" w:rsidRDefault="00231ECA" w:rsidP="00685EF4">
      <w:pPr>
        <w:rPr>
          <w:rFonts w:ascii="Tahoma" w:eastAsia="Times New Roman" w:hAnsi="Tahoma" w:cs="Tahoma"/>
          <w:b/>
          <w:color w:val="auto"/>
        </w:rPr>
      </w:pPr>
    </w:p>
    <w:p w:rsidR="00F8609F" w:rsidRDefault="00685EF4" w:rsidP="00685EF4">
      <w:pPr>
        <w:rPr>
          <w:rFonts w:ascii="Tahoma" w:eastAsia="Times New Roman" w:hAnsi="Tahoma" w:cs="Tahoma"/>
          <w:b/>
          <w:color w:val="auto"/>
        </w:rPr>
      </w:pPr>
      <w:r w:rsidRPr="00685EF4">
        <w:rPr>
          <w:rFonts w:ascii="Tahoma" w:eastAsia="Times New Roman" w:hAnsi="Tahoma" w:cs="Tahoma"/>
          <w:b/>
          <w:color w:val="auto"/>
        </w:rPr>
        <w:lastRenderedPageBreak/>
        <w:t>PRESUPUESTO INICIAL DE INGRESOS</w:t>
      </w:r>
    </w:p>
    <w:p w:rsidR="00231ECA" w:rsidRDefault="002C6DCC" w:rsidP="00685EF4">
      <w:pPr>
        <w:rPr>
          <w:rFonts w:ascii="Tahoma" w:eastAsia="Times New Roman" w:hAnsi="Tahoma" w:cs="Tahoma"/>
          <w:b/>
          <w:color w:val="auto"/>
        </w:rPr>
      </w:pPr>
      <w:r w:rsidRPr="002C6DCC">
        <w:rPr>
          <w:noProof/>
        </w:rPr>
        <w:drawing>
          <wp:inline distT="0" distB="0" distL="0" distR="0" wp14:anchorId="795CE348" wp14:editId="7B882B54">
            <wp:extent cx="4046220" cy="54483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46571" cy="5448773"/>
                    </a:xfrm>
                    <a:prstGeom prst="rect">
                      <a:avLst/>
                    </a:prstGeom>
                  </pic:spPr>
                </pic:pic>
              </a:graphicData>
            </a:graphic>
          </wp:inline>
        </w:drawing>
      </w:r>
    </w:p>
    <w:p w:rsidR="009A7AA1" w:rsidRDefault="009A7AA1" w:rsidP="00F8609F">
      <w:pPr>
        <w:jc w:val="center"/>
        <w:rPr>
          <w:rFonts w:ascii="Tahoma" w:eastAsia="Times New Roman" w:hAnsi="Tahoma" w:cs="Tahoma"/>
          <w:color w:val="auto"/>
        </w:rPr>
      </w:pPr>
    </w:p>
    <w:p w:rsidR="00685EF4" w:rsidRDefault="00685EF4" w:rsidP="00685EF4">
      <w:pPr>
        <w:jc w:val="both"/>
        <w:rPr>
          <w:rFonts w:ascii="Tahoma" w:eastAsia="Times New Roman" w:hAnsi="Tahoma" w:cs="Tahoma"/>
          <w:color w:val="auto"/>
        </w:rPr>
      </w:pPr>
      <w:r w:rsidRPr="009A7AA1">
        <w:rPr>
          <w:rFonts w:ascii="Tahoma" w:eastAsia="Times New Roman" w:hAnsi="Tahoma" w:cs="Tahoma"/>
          <w:bCs/>
          <w:color w:val="auto"/>
        </w:rPr>
        <w:t>El presupuesto Inicial de ingresos se dividió en: Ingresos Tributarios con</w:t>
      </w:r>
      <w:r>
        <w:rPr>
          <w:rFonts w:ascii="Tahoma" w:eastAsia="Times New Roman" w:hAnsi="Tahoma" w:cs="Tahoma"/>
          <w:bCs/>
          <w:color w:val="auto"/>
        </w:rPr>
        <w:t xml:space="preserve"> el </w:t>
      </w:r>
      <w:r w:rsidR="002C6DCC">
        <w:rPr>
          <w:rFonts w:ascii="Tahoma" w:eastAsia="Times New Roman" w:hAnsi="Tahoma" w:cs="Tahoma"/>
          <w:bCs/>
          <w:color w:val="auto"/>
        </w:rPr>
        <w:t>4.98%</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2C6DCC">
        <w:rPr>
          <w:rFonts w:ascii="Tahoma" w:eastAsia="Times New Roman" w:hAnsi="Tahoma" w:cs="Tahoma"/>
          <w:bCs/>
          <w:color w:val="auto"/>
        </w:rPr>
        <w:t>269</w:t>
      </w:r>
      <w:r w:rsidR="00511C4D">
        <w:rPr>
          <w:rFonts w:ascii="Tahoma" w:eastAsia="Times New Roman" w:hAnsi="Tahoma" w:cs="Tahoma"/>
          <w:color w:val="auto"/>
        </w:rPr>
        <w:t xml:space="preserve">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40194D">
        <w:rPr>
          <w:rFonts w:ascii="Tahoma" w:eastAsia="Times New Roman" w:hAnsi="Tahoma" w:cs="Tahoma"/>
          <w:bCs/>
          <w:color w:val="auto"/>
        </w:rPr>
        <w:t>el 3</w:t>
      </w:r>
      <w:r w:rsidR="002C6DCC">
        <w:rPr>
          <w:rFonts w:ascii="Tahoma" w:eastAsia="Times New Roman" w:hAnsi="Tahoma" w:cs="Tahoma"/>
          <w:bCs/>
          <w:color w:val="auto"/>
        </w:rPr>
        <w:t>.61</w:t>
      </w:r>
      <w:r w:rsidR="0040194D">
        <w:rPr>
          <w:rFonts w:ascii="Tahoma" w:eastAsia="Times New Roman" w:hAnsi="Tahoma" w:cs="Tahoma"/>
          <w:bCs/>
          <w:color w:val="auto"/>
        </w:rPr>
        <w:t>% equivalente</w:t>
      </w:r>
      <w:r>
        <w:rPr>
          <w:rFonts w:ascii="Tahoma" w:eastAsia="Times New Roman" w:hAnsi="Tahoma" w:cs="Tahoma"/>
          <w:bCs/>
          <w:color w:val="auto"/>
        </w:rPr>
        <w:t xml:space="preserve"> a </w:t>
      </w:r>
      <w:r w:rsidRPr="009A7AA1">
        <w:rPr>
          <w:rFonts w:ascii="Tahoma" w:eastAsia="Times New Roman" w:hAnsi="Tahoma" w:cs="Tahoma"/>
          <w:bCs/>
          <w:color w:val="auto"/>
        </w:rPr>
        <w:t>$</w:t>
      </w:r>
      <w:r w:rsidR="002C6DCC">
        <w:rPr>
          <w:rFonts w:ascii="Tahoma" w:eastAsia="Times New Roman" w:hAnsi="Tahoma" w:cs="Tahoma"/>
          <w:bCs/>
          <w:color w:val="auto"/>
        </w:rPr>
        <w:t>194</w:t>
      </w:r>
      <w:r w:rsidR="00511C4D">
        <w:rPr>
          <w:rFonts w:ascii="Tahoma" w:eastAsia="Times New Roman" w:hAnsi="Tahoma" w:cs="Tahoma"/>
          <w:color w:val="auto"/>
        </w:rPr>
        <w:t xml:space="preserve"> millones</w:t>
      </w:r>
      <w:r w:rsidR="003D4DEF">
        <w:rPr>
          <w:rFonts w:ascii="Tahoma" w:eastAsia="Times New Roman" w:hAnsi="Tahoma" w:cs="Tahoma"/>
          <w:color w:val="auto"/>
        </w:rPr>
        <w:t xml:space="preserve">, </w:t>
      </w:r>
      <w:r w:rsidR="00DA6531">
        <w:rPr>
          <w:rFonts w:ascii="Tahoma" w:eastAsia="Times New Roman" w:hAnsi="Tahoma" w:cs="Tahoma"/>
          <w:color w:val="auto"/>
        </w:rPr>
        <w:t xml:space="preserve">Sistema General de Participaciones con un 91.41%, equivalentes a $4.940 millones. </w:t>
      </w:r>
    </w:p>
    <w:p w:rsidR="004F7C44" w:rsidRDefault="004F7C44" w:rsidP="000653AB">
      <w:pPr>
        <w:tabs>
          <w:tab w:val="left" w:pos="2835"/>
        </w:tabs>
        <w:spacing w:before="0" w:after="0" w:line="19" w:lineRule="atLeast"/>
        <w:jc w:val="right"/>
        <w:rPr>
          <w:rFonts w:ascii="Tahoma" w:eastAsia="Times New Roman" w:hAnsi="Tahoma" w:cs="Tahoma"/>
          <w:bCs/>
          <w:color w:val="auto"/>
        </w:rPr>
      </w:pPr>
    </w:p>
    <w:p w:rsidR="00DE4790" w:rsidRDefault="00C10915" w:rsidP="00685EF4">
      <w:pPr>
        <w:tabs>
          <w:tab w:val="left" w:pos="2835"/>
        </w:tabs>
        <w:spacing w:before="0" w:after="0" w:line="19" w:lineRule="atLeast"/>
        <w:jc w:val="center"/>
        <w:rPr>
          <w:rFonts w:ascii="Tahoma" w:eastAsia="Times New Roman" w:hAnsi="Tahoma" w:cs="Tahoma"/>
          <w:b/>
          <w:bCs/>
          <w:color w:val="auto"/>
        </w:rPr>
      </w:pPr>
      <w:r>
        <w:rPr>
          <w:noProof/>
        </w:rPr>
        <w:drawing>
          <wp:inline distT="0" distB="0" distL="0" distR="0" wp14:anchorId="3D152FD0" wp14:editId="70D8025F">
            <wp:extent cx="4572000" cy="2499360"/>
            <wp:effectExtent l="0" t="0" r="0"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31ECA" w:rsidRDefault="00231ECA" w:rsidP="00521391">
      <w:pPr>
        <w:tabs>
          <w:tab w:val="left" w:pos="2835"/>
        </w:tabs>
        <w:spacing w:before="0" w:after="0" w:line="19" w:lineRule="atLeast"/>
        <w:jc w:val="both"/>
        <w:rPr>
          <w:rFonts w:ascii="Tahoma" w:eastAsia="Times New Roman" w:hAnsi="Tahoma" w:cs="Tahoma"/>
          <w:b/>
          <w:bCs/>
          <w:color w:val="auto"/>
        </w:rPr>
      </w:pPr>
    </w:p>
    <w:p w:rsidR="00C10915" w:rsidRDefault="00C10915" w:rsidP="00521391">
      <w:pPr>
        <w:tabs>
          <w:tab w:val="left" w:pos="2835"/>
        </w:tabs>
        <w:spacing w:before="0" w:after="0" w:line="19" w:lineRule="atLeast"/>
        <w:jc w:val="both"/>
        <w:rPr>
          <w:rFonts w:ascii="Tahoma" w:eastAsia="Times New Roman" w:hAnsi="Tahoma" w:cs="Tahoma"/>
          <w:b/>
          <w:bCs/>
          <w:color w:val="auto"/>
        </w:rPr>
      </w:pPr>
    </w:p>
    <w:p w:rsidR="00521391" w:rsidRPr="00521391" w:rsidRDefault="00521391" w:rsidP="00521391">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sidR="00800EA9">
        <w:rPr>
          <w:rFonts w:ascii="Tahoma" w:eastAsia="Times New Roman" w:hAnsi="Tahoma" w:cs="Tahoma"/>
          <w:b/>
          <w:bCs/>
          <w:color w:val="auto"/>
        </w:rPr>
        <w:t xml:space="preserve"> </w:t>
      </w:r>
      <w:r w:rsidR="00CB6457">
        <w:rPr>
          <w:rFonts w:ascii="Tahoma" w:eastAsia="Times New Roman" w:hAnsi="Tahoma" w:cs="Tahoma"/>
          <w:b/>
          <w:bCs/>
          <w:color w:val="auto"/>
        </w:rPr>
        <w:t xml:space="preserve">DE INGRESOS </w:t>
      </w:r>
      <w:r w:rsidR="00800EA9">
        <w:rPr>
          <w:rFonts w:ascii="Tahoma" w:eastAsia="Times New Roman" w:hAnsi="Tahoma" w:cs="Tahoma"/>
          <w:b/>
          <w:bCs/>
          <w:color w:val="auto"/>
        </w:rPr>
        <w:t>(ADICIONES)</w:t>
      </w:r>
    </w:p>
    <w:p w:rsidR="00DB46A2" w:rsidRDefault="00DB46A2" w:rsidP="001D78F5">
      <w:pPr>
        <w:tabs>
          <w:tab w:val="left" w:pos="2835"/>
        </w:tabs>
        <w:spacing w:before="0" w:after="0" w:line="19" w:lineRule="atLeast"/>
        <w:jc w:val="both"/>
        <w:rPr>
          <w:rFonts w:ascii="Tahoma" w:eastAsia="Times New Roman" w:hAnsi="Tahoma" w:cs="Tahoma"/>
          <w:bCs/>
          <w:color w:val="auto"/>
        </w:rPr>
      </w:pPr>
    </w:p>
    <w:p w:rsidR="001D78F5" w:rsidRDefault="001D78F5" w:rsidP="001D78F5">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El presupuesto de ingresos del Municipio de </w:t>
      </w:r>
      <w:r w:rsidR="00C10915">
        <w:rPr>
          <w:rFonts w:ascii="Tahoma" w:eastAsia="Times New Roman" w:hAnsi="Tahoma" w:cs="Tahoma"/>
          <w:bCs/>
          <w:color w:val="auto"/>
        </w:rPr>
        <w:t>Casabianc</w:t>
      </w:r>
      <w:r>
        <w:rPr>
          <w:rFonts w:ascii="Tahoma" w:eastAsia="Times New Roman" w:hAnsi="Tahoma" w:cs="Tahoma"/>
          <w:bCs/>
          <w:color w:val="auto"/>
        </w:rPr>
        <w:t>a fue adicionado en un 1</w:t>
      </w:r>
      <w:r w:rsidR="0078515B">
        <w:rPr>
          <w:rFonts w:ascii="Tahoma" w:eastAsia="Times New Roman" w:hAnsi="Tahoma" w:cs="Tahoma"/>
          <w:bCs/>
          <w:color w:val="auto"/>
        </w:rPr>
        <w:t>36</w:t>
      </w:r>
      <w:r>
        <w:rPr>
          <w:rFonts w:ascii="Tahoma" w:eastAsia="Times New Roman" w:hAnsi="Tahoma" w:cs="Tahoma"/>
          <w:bCs/>
          <w:color w:val="auto"/>
        </w:rPr>
        <w:t>%, equivalentes a $</w:t>
      </w:r>
      <w:r w:rsidR="0078515B">
        <w:rPr>
          <w:rFonts w:ascii="Tahoma" w:eastAsia="Times New Roman" w:hAnsi="Tahoma" w:cs="Tahoma"/>
          <w:bCs/>
          <w:color w:val="auto"/>
        </w:rPr>
        <w:t>7.340</w:t>
      </w:r>
      <w:r>
        <w:rPr>
          <w:rFonts w:ascii="Tahoma" w:eastAsia="Times New Roman" w:hAnsi="Tahoma" w:cs="Tahoma"/>
          <w:bCs/>
          <w:color w:val="auto"/>
        </w:rPr>
        <w:t xml:space="preserve"> millones y las principales modificaciones se realizaron en los Ingresos Tributarios en la suma de $</w:t>
      </w:r>
      <w:r w:rsidR="00F26250">
        <w:rPr>
          <w:rFonts w:ascii="Tahoma" w:eastAsia="Times New Roman" w:hAnsi="Tahoma" w:cs="Tahoma"/>
          <w:bCs/>
          <w:color w:val="auto"/>
        </w:rPr>
        <w:t>410</w:t>
      </w:r>
      <w:r>
        <w:rPr>
          <w:rFonts w:ascii="Tahoma" w:eastAsia="Times New Roman" w:hAnsi="Tahoma" w:cs="Tahoma"/>
          <w:bCs/>
          <w:color w:val="auto"/>
        </w:rPr>
        <w:t xml:space="preserve"> millones, </w:t>
      </w:r>
      <w:r w:rsidR="00F26250">
        <w:rPr>
          <w:rFonts w:ascii="Tahoma" w:eastAsia="Times New Roman" w:hAnsi="Tahoma" w:cs="Tahoma"/>
          <w:bCs/>
          <w:color w:val="auto"/>
        </w:rPr>
        <w:t>No Tributarios $2.331 millones, Sistema General de Participaciones $2.70</w:t>
      </w:r>
      <w:r w:rsidR="004E56E3">
        <w:rPr>
          <w:rFonts w:ascii="Tahoma" w:eastAsia="Times New Roman" w:hAnsi="Tahoma" w:cs="Tahoma"/>
          <w:bCs/>
          <w:color w:val="auto"/>
        </w:rPr>
        <w:t>4</w:t>
      </w:r>
      <w:r w:rsidR="00F26250">
        <w:rPr>
          <w:rFonts w:ascii="Tahoma" w:eastAsia="Times New Roman" w:hAnsi="Tahoma" w:cs="Tahoma"/>
          <w:bCs/>
          <w:color w:val="auto"/>
        </w:rPr>
        <w:t xml:space="preserve"> m</w:t>
      </w:r>
      <w:r>
        <w:rPr>
          <w:rFonts w:ascii="Tahoma" w:eastAsia="Times New Roman" w:hAnsi="Tahoma" w:cs="Tahoma"/>
          <w:bCs/>
          <w:color w:val="auto"/>
        </w:rPr>
        <w:t>illones</w:t>
      </w:r>
      <w:r w:rsidR="00DE266F">
        <w:rPr>
          <w:rFonts w:ascii="Tahoma" w:eastAsia="Times New Roman" w:hAnsi="Tahoma" w:cs="Tahoma"/>
          <w:bCs/>
          <w:color w:val="auto"/>
        </w:rPr>
        <w:t xml:space="preserve">, </w:t>
      </w:r>
      <w:r>
        <w:rPr>
          <w:rFonts w:ascii="Tahoma" w:eastAsia="Times New Roman" w:hAnsi="Tahoma" w:cs="Tahoma"/>
          <w:bCs/>
          <w:color w:val="auto"/>
        </w:rPr>
        <w:t>Recursos de Capital en la suma de $</w:t>
      </w:r>
      <w:r w:rsidR="00F26250">
        <w:rPr>
          <w:rFonts w:ascii="Tahoma" w:eastAsia="Times New Roman" w:hAnsi="Tahoma" w:cs="Tahoma"/>
          <w:bCs/>
          <w:color w:val="auto"/>
        </w:rPr>
        <w:t>1.89</w:t>
      </w:r>
      <w:r w:rsidR="004E56E3">
        <w:rPr>
          <w:rFonts w:ascii="Tahoma" w:eastAsia="Times New Roman" w:hAnsi="Tahoma" w:cs="Tahoma"/>
          <w:bCs/>
          <w:color w:val="auto"/>
        </w:rPr>
        <w:t>5</w:t>
      </w:r>
      <w:r>
        <w:rPr>
          <w:rFonts w:ascii="Tahoma" w:eastAsia="Times New Roman" w:hAnsi="Tahoma" w:cs="Tahoma"/>
          <w:bCs/>
          <w:color w:val="auto"/>
        </w:rPr>
        <w:t xml:space="preserve"> millones</w:t>
      </w:r>
      <w:r w:rsidR="00DE266F">
        <w:rPr>
          <w:rFonts w:ascii="Tahoma" w:eastAsia="Times New Roman" w:hAnsi="Tahoma" w:cs="Tahoma"/>
          <w:bCs/>
          <w:color w:val="auto"/>
        </w:rPr>
        <w:t>.</w:t>
      </w:r>
      <w:r>
        <w:rPr>
          <w:rFonts w:ascii="Tahoma" w:eastAsia="Times New Roman" w:hAnsi="Tahoma" w:cs="Tahoma"/>
          <w:bCs/>
          <w:color w:val="auto"/>
        </w:rPr>
        <w:t xml:space="preserve"> Ver </w:t>
      </w:r>
      <w:r w:rsidR="007B4958">
        <w:rPr>
          <w:rFonts w:ascii="Tahoma" w:eastAsia="Times New Roman" w:hAnsi="Tahoma" w:cs="Tahoma"/>
          <w:bCs/>
          <w:color w:val="auto"/>
        </w:rPr>
        <w:t>gráfico y tabla</w:t>
      </w:r>
      <w:r>
        <w:rPr>
          <w:rFonts w:ascii="Tahoma" w:eastAsia="Times New Roman" w:hAnsi="Tahoma" w:cs="Tahoma"/>
          <w:bCs/>
          <w:color w:val="auto"/>
        </w:rPr>
        <w:t>.</w:t>
      </w:r>
    </w:p>
    <w:p w:rsidR="00D41094" w:rsidRDefault="00AB26F6" w:rsidP="00AB26F6">
      <w:pPr>
        <w:tabs>
          <w:tab w:val="left" w:pos="2835"/>
        </w:tabs>
        <w:spacing w:before="0" w:after="0" w:line="19" w:lineRule="atLeast"/>
        <w:jc w:val="center"/>
        <w:rPr>
          <w:rFonts w:ascii="Tahoma" w:eastAsia="Times New Roman" w:hAnsi="Tahoma" w:cs="Tahoma"/>
          <w:bCs/>
          <w:color w:val="auto"/>
        </w:rPr>
      </w:pPr>
      <w:r>
        <w:rPr>
          <w:noProof/>
        </w:rPr>
        <w:lastRenderedPageBreak/>
        <w:drawing>
          <wp:inline distT="0" distB="0" distL="0" distR="0" wp14:anchorId="3C42BB93" wp14:editId="3BCA0126">
            <wp:extent cx="4838700" cy="2628900"/>
            <wp:effectExtent l="0" t="0" r="19050" b="1905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41094" w:rsidRDefault="00D41094" w:rsidP="000E7935">
      <w:pPr>
        <w:tabs>
          <w:tab w:val="left" w:pos="2835"/>
        </w:tabs>
        <w:spacing w:before="0" w:after="0" w:line="19" w:lineRule="atLeast"/>
        <w:jc w:val="center"/>
        <w:rPr>
          <w:rFonts w:ascii="Tahoma" w:eastAsia="Times New Roman" w:hAnsi="Tahoma" w:cs="Tahoma"/>
          <w:bCs/>
          <w:color w:val="auto"/>
        </w:rPr>
      </w:pPr>
    </w:p>
    <w:p w:rsidR="00EE40F7" w:rsidRDefault="00EE40F7" w:rsidP="009848DF">
      <w:pPr>
        <w:tabs>
          <w:tab w:val="left" w:pos="2835"/>
        </w:tabs>
        <w:spacing w:before="0" w:after="0" w:line="19" w:lineRule="atLeast"/>
        <w:jc w:val="both"/>
        <w:rPr>
          <w:rFonts w:ascii="Tahoma" w:eastAsia="Times New Roman" w:hAnsi="Tahoma" w:cs="Tahoma"/>
          <w:bCs/>
          <w:color w:val="auto"/>
        </w:rPr>
      </w:pPr>
    </w:p>
    <w:p w:rsidR="00B33ABA" w:rsidRDefault="00B33ABA" w:rsidP="00256F6A">
      <w:pPr>
        <w:tabs>
          <w:tab w:val="left" w:pos="5667"/>
        </w:tabs>
        <w:spacing w:before="0" w:after="0" w:line="19" w:lineRule="atLeast"/>
        <w:jc w:val="both"/>
        <w:rPr>
          <w:rFonts w:ascii="Tahoma" w:eastAsia="Times New Roman" w:hAnsi="Tahoma" w:cs="Tahoma"/>
          <w:b/>
          <w:bCs/>
          <w:color w:val="auto"/>
        </w:rPr>
      </w:pPr>
      <w:r w:rsidRPr="00B33ABA">
        <w:rPr>
          <w:rFonts w:ascii="Tahoma" w:eastAsia="Times New Roman" w:hAnsi="Tahoma" w:cs="Tahoma"/>
          <w:b/>
          <w:bCs/>
          <w:color w:val="auto"/>
        </w:rPr>
        <w:t>FUENTES DE FINANCIACION PRESUPUESTO</w:t>
      </w:r>
    </w:p>
    <w:p w:rsidR="00B33ABA" w:rsidRPr="00B33ABA" w:rsidRDefault="00B33ABA" w:rsidP="00256F6A">
      <w:pPr>
        <w:tabs>
          <w:tab w:val="left" w:pos="5667"/>
        </w:tabs>
        <w:spacing w:before="0" w:after="0" w:line="19" w:lineRule="atLeast"/>
        <w:jc w:val="both"/>
        <w:rPr>
          <w:rFonts w:ascii="Tahoma" w:eastAsia="Times New Roman" w:hAnsi="Tahoma" w:cs="Tahoma"/>
          <w:b/>
          <w:bCs/>
          <w:color w:val="auto"/>
        </w:rPr>
      </w:pPr>
    </w:p>
    <w:p w:rsidR="005124DB" w:rsidRDefault="004B1676"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Las principales fuentes </w:t>
      </w:r>
      <w:r w:rsidR="00745F39">
        <w:rPr>
          <w:rFonts w:ascii="Tahoma" w:eastAsia="Times New Roman" w:hAnsi="Tahoma" w:cs="Tahoma"/>
          <w:bCs/>
          <w:color w:val="auto"/>
        </w:rPr>
        <w:t xml:space="preserve">que </w:t>
      </w:r>
      <w:r>
        <w:rPr>
          <w:rFonts w:ascii="Tahoma" w:eastAsia="Times New Roman" w:hAnsi="Tahoma" w:cs="Tahoma"/>
          <w:bCs/>
          <w:color w:val="auto"/>
        </w:rPr>
        <w:t>financia</w:t>
      </w:r>
      <w:r w:rsidR="00745F39">
        <w:rPr>
          <w:rFonts w:ascii="Tahoma" w:eastAsia="Times New Roman" w:hAnsi="Tahoma" w:cs="Tahoma"/>
          <w:bCs/>
          <w:color w:val="auto"/>
        </w:rPr>
        <w:t xml:space="preserve">ron </w:t>
      </w:r>
      <w:r>
        <w:rPr>
          <w:rFonts w:ascii="Tahoma" w:eastAsia="Times New Roman" w:hAnsi="Tahoma" w:cs="Tahoma"/>
          <w:bCs/>
          <w:color w:val="auto"/>
        </w:rPr>
        <w:t>el presupuesto del Municipio</w:t>
      </w:r>
      <w:r w:rsidR="00D27BCA">
        <w:rPr>
          <w:rFonts w:ascii="Tahoma" w:eastAsia="Times New Roman" w:hAnsi="Tahoma" w:cs="Tahoma"/>
          <w:bCs/>
          <w:color w:val="auto"/>
        </w:rPr>
        <w:t xml:space="preserve"> de </w:t>
      </w:r>
      <w:r w:rsidR="007A4D88">
        <w:rPr>
          <w:rFonts w:ascii="Tahoma" w:eastAsia="Times New Roman" w:hAnsi="Tahoma" w:cs="Tahoma"/>
          <w:bCs/>
          <w:color w:val="auto"/>
        </w:rPr>
        <w:t>Casabianca</w:t>
      </w:r>
      <w:r>
        <w:rPr>
          <w:rFonts w:ascii="Tahoma" w:eastAsia="Times New Roman" w:hAnsi="Tahoma" w:cs="Tahoma"/>
          <w:bCs/>
          <w:color w:val="auto"/>
        </w:rPr>
        <w:t xml:space="preserve"> fueron</w:t>
      </w:r>
      <w:r w:rsidR="00EF1F54">
        <w:rPr>
          <w:rFonts w:ascii="Tahoma" w:eastAsia="Times New Roman" w:hAnsi="Tahoma" w:cs="Tahoma"/>
          <w:bCs/>
          <w:color w:val="auto"/>
        </w:rPr>
        <w:t xml:space="preserve"> </w:t>
      </w:r>
      <w:r w:rsidR="006077F1">
        <w:rPr>
          <w:rFonts w:ascii="Tahoma" w:eastAsia="Times New Roman" w:hAnsi="Tahoma" w:cs="Tahoma"/>
          <w:bCs/>
          <w:color w:val="auto"/>
        </w:rPr>
        <w:t xml:space="preserve">los Ingresos No tributarios, </w:t>
      </w:r>
      <w:r w:rsidR="00EF1F54">
        <w:rPr>
          <w:rFonts w:ascii="Tahoma" w:eastAsia="Times New Roman" w:hAnsi="Tahoma" w:cs="Tahoma"/>
          <w:bCs/>
          <w:color w:val="auto"/>
        </w:rPr>
        <w:t xml:space="preserve">Sistema General de Participaciones </w:t>
      </w:r>
      <w:r w:rsidR="007B4958">
        <w:rPr>
          <w:rFonts w:ascii="Tahoma" w:eastAsia="Times New Roman" w:hAnsi="Tahoma" w:cs="Tahoma"/>
          <w:bCs/>
          <w:color w:val="auto"/>
        </w:rPr>
        <w:t xml:space="preserve">con </w:t>
      </w:r>
      <w:r w:rsidR="00EF1F54">
        <w:rPr>
          <w:rFonts w:ascii="Tahoma" w:eastAsia="Times New Roman" w:hAnsi="Tahoma" w:cs="Tahoma"/>
          <w:bCs/>
          <w:color w:val="auto"/>
        </w:rPr>
        <w:t xml:space="preserve">un </w:t>
      </w:r>
      <w:r w:rsidR="005124DB">
        <w:rPr>
          <w:rFonts w:ascii="Tahoma" w:eastAsia="Times New Roman" w:hAnsi="Tahoma" w:cs="Tahoma"/>
          <w:bCs/>
          <w:color w:val="auto"/>
        </w:rPr>
        <w:t>27</w:t>
      </w:r>
      <w:r w:rsidR="00EF1F54">
        <w:rPr>
          <w:rFonts w:ascii="Tahoma" w:eastAsia="Times New Roman" w:hAnsi="Tahoma" w:cs="Tahoma"/>
          <w:bCs/>
          <w:color w:val="auto"/>
        </w:rPr>
        <w:t>%,</w:t>
      </w:r>
      <w:r w:rsidR="005124DB">
        <w:rPr>
          <w:rFonts w:ascii="Tahoma" w:eastAsia="Times New Roman" w:hAnsi="Tahoma" w:cs="Tahoma"/>
          <w:bCs/>
          <w:color w:val="auto"/>
        </w:rPr>
        <w:t xml:space="preserve"> Recursos de Capital 26%</w:t>
      </w:r>
      <w:r w:rsidR="007B4958">
        <w:rPr>
          <w:rFonts w:ascii="Tahoma" w:eastAsia="Times New Roman" w:hAnsi="Tahoma" w:cs="Tahoma"/>
          <w:bCs/>
          <w:color w:val="auto"/>
        </w:rPr>
        <w:t>,</w:t>
      </w:r>
      <w:r w:rsidR="00EF1F54">
        <w:rPr>
          <w:rFonts w:ascii="Tahoma" w:eastAsia="Times New Roman" w:hAnsi="Tahoma" w:cs="Tahoma"/>
          <w:bCs/>
          <w:color w:val="auto"/>
        </w:rPr>
        <w:t xml:space="preserve"> Ingresos Tributarios en un 2</w:t>
      </w:r>
      <w:r w:rsidR="005124DB">
        <w:rPr>
          <w:rFonts w:ascii="Tahoma" w:eastAsia="Times New Roman" w:hAnsi="Tahoma" w:cs="Tahoma"/>
          <w:bCs/>
          <w:color w:val="auto"/>
        </w:rPr>
        <w:t>5</w:t>
      </w:r>
      <w:r w:rsidR="00EF1F54">
        <w:rPr>
          <w:rFonts w:ascii="Tahoma" w:eastAsia="Times New Roman" w:hAnsi="Tahoma" w:cs="Tahoma"/>
          <w:bCs/>
          <w:color w:val="auto"/>
        </w:rPr>
        <w:t xml:space="preserve">%, </w:t>
      </w:r>
      <w:r w:rsidR="005124DB">
        <w:rPr>
          <w:rFonts w:ascii="Tahoma" w:eastAsia="Times New Roman" w:hAnsi="Tahoma" w:cs="Tahoma"/>
          <w:bCs/>
          <w:color w:val="auto"/>
        </w:rPr>
        <w:t xml:space="preserve">Transferencias 20%, </w:t>
      </w:r>
      <w:r w:rsidR="00EF1F54">
        <w:rPr>
          <w:rFonts w:ascii="Tahoma" w:eastAsia="Times New Roman" w:hAnsi="Tahoma" w:cs="Tahoma"/>
          <w:bCs/>
          <w:color w:val="auto"/>
        </w:rPr>
        <w:t xml:space="preserve">Ingresos no Tributarios </w:t>
      </w:r>
      <w:r w:rsidR="005124DB">
        <w:rPr>
          <w:rFonts w:ascii="Tahoma" w:eastAsia="Times New Roman" w:hAnsi="Tahoma" w:cs="Tahoma"/>
          <w:bCs/>
          <w:color w:val="auto"/>
        </w:rPr>
        <w:t>2%.</w:t>
      </w:r>
    </w:p>
    <w:p w:rsidR="005124DB" w:rsidRDefault="00EF1F54"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 </w:t>
      </w:r>
    </w:p>
    <w:p w:rsidR="001C1EA3" w:rsidRDefault="00256F6A" w:rsidP="006F26B2">
      <w:pPr>
        <w:tabs>
          <w:tab w:val="left" w:pos="5667"/>
        </w:tabs>
        <w:spacing w:before="0" w:after="0" w:line="19" w:lineRule="atLeast"/>
        <w:jc w:val="both"/>
        <w:rPr>
          <w:rFonts w:ascii="Tahoma" w:hAnsi="Tahoma" w:cs="Tahoma"/>
          <w:noProof/>
          <w:color w:val="FF0000"/>
        </w:rPr>
      </w:pPr>
      <w:r>
        <w:rPr>
          <w:rFonts w:ascii="Tahoma" w:eastAsia="Times New Roman" w:hAnsi="Tahoma" w:cs="Tahoma"/>
          <w:bCs/>
          <w:color w:val="auto"/>
        </w:rPr>
        <w:lastRenderedPageBreak/>
        <w:t xml:space="preserve"> </w:t>
      </w:r>
      <w:r w:rsidR="001C1EA3">
        <w:rPr>
          <w:rFonts w:ascii="Tahoma" w:hAnsi="Tahoma" w:cs="Tahoma"/>
          <w:noProof/>
          <w:color w:val="FF0000"/>
        </w:rPr>
        <w:drawing>
          <wp:inline distT="0" distB="0" distL="0" distR="0" wp14:anchorId="061DACEA" wp14:editId="3B7F4009">
            <wp:extent cx="5486400" cy="2987040"/>
            <wp:effectExtent l="0" t="0" r="19050" b="2286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073CF" w:rsidRDefault="005073CF"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9848DF">
      <w:pPr>
        <w:tabs>
          <w:tab w:val="left" w:pos="2835"/>
        </w:tabs>
        <w:spacing w:before="0" w:after="0" w:line="19" w:lineRule="atLeast"/>
        <w:jc w:val="both"/>
        <w:rPr>
          <w:rFonts w:ascii="Tahoma" w:hAnsi="Tahoma" w:cs="Tahoma"/>
          <w:noProof/>
          <w:color w:val="auto"/>
        </w:rPr>
      </w:pPr>
    </w:p>
    <w:p w:rsidR="00CC2339" w:rsidRDefault="00CC2339" w:rsidP="00CC2339">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lastRenderedPageBreak/>
        <w:t>COMPORTAMIENTO DEL RECAUDO:</w:t>
      </w:r>
    </w:p>
    <w:p w:rsidR="00CC2339" w:rsidRPr="0054263E" w:rsidRDefault="00CC2339" w:rsidP="00CC2339">
      <w:pPr>
        <w:tabs>
          <w:tab w:val="left" w:pos="2835"/>
        </w:tabs>
        <w:spacing w:before="0" w:after="0" w:line="19" w:lineRule="atLeast"/>
        <w:jc w:val="both"/>
        <w:rPr>
          <w:rFonts w:ascii="Tahoma" w:hAnsi="Tahoma" w:cs="Tahoma"/>
          <w:b/>
          <w:noProof/>
          <w:color w:val="auto"/>
        </w:rPr>
      </w:pPr>
    </w:p>
    <w:p w:rsidR="00915224" w:rsidRDefault="00A3763C" w:rsidP="009848DF">
      <w:pPr>
        <w:tabs>
          <w:tab w:val="left" w:pos="2835"/>
        </w:tabs>
        <w:spacing w:before="0" w:after="0" w:line="19" w:lineRule="atLeast"/>
        <w:jc w:val="both"/>
        <w:rPr>
          <w:rFonts w:ascii="Tahoma" w:hAnsi="Tahoma" w:cs="Tahoma"/>
          <w:noProof/>
          <w:color w:val="auto"/>
        </w:rPr>
      </w:pPr>
      <w:r w:rsidRPr="00A3763C">
        <w:rPr>
          <w:noProof/>
        </w:rPr>
        <w:drawing>
          <wp:inline distT="0" distB="0" distL="0" distR="0" wp14:anchorId="7BC3D883" wp14:editId="23560976">
            <wp:extent cx="5612130" cy="46863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12130" cy="4686300"/>
                    </a:xfrm>
                    <a:prstGeom prst="rect">
                      <a:avLst/>
                    </a:prstGeom>
                  </pic:spPr>
                </pic:pic>
              </a:graphicData>
            </a:graphic>
          </wp:inline>
        </w:drawing>
      </w:r>
    </w:p>
    <w:p w:rsidR="00915224" w:rsidRDefault="00915224" w:rsidP="005073CF">
      <w:pPr>
        <w:tabs>
          <w:tab w:val="left" w:pos="2835"/>
        </w:tabs>
        <w:spacing w:before="0" w:after="0" w:line="19" w:lineRule="atLeast"/>
        <w:jc w:val="both"/>
        <w:rPr>
          <w:rFonts w:ascii="Tahoma" w:hAnsi="Tahoma" w:cs="Tahoma"/>
          <w:noProof/>
          <w:color w:val="auto"/>
        </w:rPr>
      </w:pPr>
    </w:p>
    <w:p w:rsidR="005073CF" w:rsidRDefault="005073CF" w:rsidP="005073CF">
      <w:pPr>
        <w:tabs>
          <w:tab w:val="left" w:pos="2835"/>
        </w:tabs>
        <w:spacing w:before="0" w:after="0" w:line="19" w:lineRule="atLeast"/>
        <w:jc w:val="both"/>
        <w:rPr>
          <w:rFonts w:ascii="Tahoma" w:hAnsi="Tahoma" w:cs="Tahoma"/>
          <w:noProof/>
          <w:color w:val="FF0000"/>
        </w:rPr>
      </w:pPr>
      <w:r>
        <w:rPr>
          <w:rFonts w:ascii="Tahoma" w:hAnsi="Tahoma" w:cs="Tahoma"/>
          <w:noProof/>
          <w:color w:val="auto"/>
        </w:rPr>
        <w:t>E</w:t>
      </w:r>
      <w:r w:rsidRPr="00836C5C">
        <w:rPr>
          <w:rFonts w:ascii="Tahoma" w:hAnsi="Tahoma" w:cs="Tahoma"/>
          <w:noProof/>
          <w:color w:val="auto"/>
        </w:rPr>
        <w:t xml:space="preserve">l presupuesto de ingresos </w:t>
      </w:r>
      <w:r w:rsidR="005E1D3C">
        <w:rPr>
          <w:rFonts w:ascii="Tahoma" w:hAnsi="Tahoma" w:cs="Tahoma"/>
          <w:noProof/>
          <w:color w:val="auto"/>
        </w:rPr>
        <w:t xml:space="preserve">definitivo </w:t>
      </w:r>
      <w:r w:rsidRPr="00836C5C">
        <w:rPr>
          <w:rFonts w:ascii="Tahoma" w:hAnsi="Tahoma" w:cs="Tahoma"/>
          <w:noProof/>
          <w:color w:val="auto"/>
        </w:rPr>
        <w:t xml:space="preserve">del Municipio de </w:t>
      </w:r>
      <w:r w:rsidR="00CC2339">
        <w:rPr>
          <w:rFonts w:ascii="Tahoma" w:hAnsi="Tahoma" w:cs="Tahoma"/>
          <w:noProof/>
          <w:color w:val="auto"/>
        </w:rPr>
        <w:t>Casabianca</w:t>
      </w:r>
      <w:r w:rsidRPr="00836C5C">
        <w:rPr>
          <w:rFonts w:ascii="Tahoma" w:hAnsi="Tahoma" w:cs="Tahoma"/>
          <w:noProof/>
          <w:color w:val="auto"/>
        </w:rPr>
        <w:t xml:space="preserve"> a Diciembre 31 de 2015</w:t>
      </w:r>
      <w:r w:rsidR="005E1D3C">
        <w:rPr>
          <w:rFonts w:ascii="Tahoma" w:hAnsi="Tahoma" w:cs="Tahoma"/>
          <w:noProof/>
          <w:color w:val="auto"/>
        </w:rPr>
        <w:t xml:space="preserve"> fue de $</w:t>
      </w:r>
      <w:r w:rsidR="00A3763C">
        <w:rPr>
          <w:rFonts w:ascii="Tahoma" w:hAnsi="Tahoma" w:cs="Tahoma"/>
          <w:noProof/>
          <w:color w:val="auto"/>
        </w:rPr>
        <w:t>12.300 millones</w:t>
      </w:r>
      <w:r w:rsidR="005E1D3C">
        <w:rPr>
          <w:rFonts w:ascii="Tahoma" w:hAnsi="Tahoma" w:cs="Tahoma"/>
          <w:noProof/>
          <w:color w:val="auto"/>
        </w:rPr>
        <w:t xml:space="preserve"> de los cuales recaudó la suma de </w:t>
      </w:r>
      <w:r w:rsidR="005E1D3C" w:rsidRPr="00767FB9">
        <w:rPr>
          <w:rFonts w:ascii="Tahoma" w:hAnsi="Tahoma" w:cs="Tahoma"/>
          <w:noProof/>
          <w:color w:val="auto"/>
        </w:rPr>
        <w:t>$</w:t>
      </w:r>
      <w:r w:rsidR="00A3763C">
        <w:rPr>
          <w:rFonts w:ascii="Tahoma" w:hAnsi="Tahoma" w:cs="Tahoma"/>
          <w:noProof/>
          <w:color w:val="auto"/>
        </w:rPr>
        <w:t xml:space="preserve">11.518 millones, </w:t>
      </w:r>
      <w:r w:rsidR="005E1D3C">
        <w:rPr>
          <w:rFonts w:ascii="Tahoma" w:hAnsi="Tahoma" w:cs="Tahoma"/>
          <w:noProof/>
          <w:color w:val="auto"/>
        </w:rPr>
        <w:t xml:space="preserve">equivalentes al </w:t>
      </w:r>
      <w:r w:rsidR="00A3763C">
        <w:rPr>
          <w:rFonts w:ascii="Tahoma" w:hAnsi="Tahoma" w:cs="Tahoma"/>
          <w:noProof/>
          <w:color w:val="auto"/>
        </w:rPr>
        <w:t>93.64</w:t>
      </w:r>
      <w:r w:rsidR="005E1D3C">
        <w:rPr>
          <w:rFonts w:ascii="Tahoma" w:hAnsi="Tahoma" w:cs="Tahoma"/>
          <w:noProof/>
          <w:color w:val="auto"/>
        </w:rPr>
        <w:t>%</w:t>
      </w:r>
      <w:r>
        <w:rPr>
          <w:rFonts w:ascii="Tahoma" w:hAnsi="Tahoma" w:cs="Tahoma"/>
          <w:noProof/>
          <w:color w:val="auto"/>
        </w:rPr>
        <w:t xml:space="preserve">.  De lo anterior se evidenció </w:t>
      </w:r>
      <w:r>
        <w:rPr>
          <w:rFonts w:ascii="Tahoma" w:hAnsi="Tahoma" w:cs="Tahoma"/>
        </w:rPr>
        <w:t xml:space="preserve">que el Municipio de </w:t>
      </w:r>
      <w:r w:rsidR="00CC2339">
        <w:rPr>
          <w:rFonts w:ascii="Tahoma" w:hAnsi="Tahoma" w:cs="Tahoma"/>
        </w:rPr>
        <w:t>Casabianca</w:t>
      </w:r>
      <w:r>
        <w:rPr>
          <w:rFonts w:ascii="Tahoma" w:hAnsi="Tahoma" w:cs="Tahoma"/>
        </w:rPr>
        <w:t xml:space="preserve"> </w:t>
      </w:r>
      <w:r w:rsidR="000448FA">
        <w:rPr>
          <w:rFonts w:ascii="Tahoma" w:hAnsi="Tahoma" w:cs="Tahoma"/>
        </w:rPr>
        <w:t>no cumplió con la meta del Recaudo, toda vez que quedó pendiente</w:t>
      </w:r>
      <w:r w:rsidR="00B33ABA">
        <w:rPr>
          <w:rFonts w:ascii="Tahoma" w:hAnsi="Tahoma" w:cs="Tahoma"/>
        </w:rPr>
        <w:t xml:space="preserve"> por recaudar la suma de $</w:t>
      </w:r>
      <w:r w:rsidR="00A3763C">
        <w:rPr>
          <w:rFonts w:ascii="Tahoma" w:hAnsi="Tahoma" w:cs="Tahoma"/>
        </w:rPr>
        <w:t>781</w:t>
      </w:r>
      <w:r w:rsidR="00B33ABA">
        <w:rPr>
          <w:rFonts w:ascii="Tahoma" w:hAnsi="Tahoma" w:cs="Tahoma"/>
        </w:rPr>
        <w:t xml:space="preserve"> millones</w:t>
      </w:r>
      <w:r w:rsidR="000448FA">
        <w:rPr>
          <w:rFonts w:ascii="Tahoma" w:hAnsi="Tahoma" w:cs="Tahoma"/>
        </w:rPr>
        <w:t xml:space="preserve">, es decir el </w:t>
      </w:r>
      <w:r w:rsidR="00A3763C">
        <w:rPr>
          <w:rFonts w:ascii="Tahoma" w:hAnsi="Tahoma" w:cs="Tahoma"/>
        </w:rPr>
        <w:t>6.35</w:t>
      </w:r>
      <w:r w:rsidR="000448FA">
        <w:rPr>
          <w:rFonts w:ascii="Tahoma" w:hAnsi="Tahoma" w:cs="Tahoma"/>
        </w:rPr>
        <w:t>%, correspondiente</w:t>
      </w:r>
      <w:r w:rsidR="00767FB9">
        <w:rPr>
          <w:rFonts w:ascii="Tahoma" w:hAnsi="Tahoma" w:cs="Tahoma"/>
        </w:rPr>
        <w:t xml:space="preserve">s al impuesto Predial, </w:t>
      </w:r>
      <w:r w:rsidR="00A3763C">
        <w:rPr>
          <w:rFonts w:ascii="Tahoma" w:hAnsi="Tahoma" w:cs="Tahoma"/>
        </w:rPr>
        <w:t>multas y sanciones</w:t>
      </w:r>
      <w:r w:rsidR="006B76AB">
        <w:rPr>
          <w:rFonts w:ascii="Tahoma" w:hAnsi="Tahoma" w:cs="Tahoma"/>
        </w:rPr>
        <w:t>, intereses moratorios y transferencias</w:t>
      </w:r>
      <w:r w:rsidR="00D9135C">
        <w:rPr>
          <w:rFonts w:ascii="Tahoma" w:hAnsi="Tahoma" w:cs="Tahoma"/>
        </w:rPr>
        <w:t xml:space="preserve"> entre otras</w:t>
      </w:r>
      <w:r w:rsidR="006B76AB">
        <w:rPr>
          <w:rFonts w:ascii="Tahoma" w:hAnsi="Tahoma" w:cs="Tahoma"/>
        </w:rPr>
        <w:t xml:space="preserve">. </w:t>
      </w:r>
      <w:r w:rsidR="00950A8A">
        <w:rPr>
          <w:rFonts w:ascii="Tahoma" w:hAnsi="Tahoma" w:cs="Tahoma"/>
        </w:rPr>
        <w:t xml:space="preserve"> </w:t>
      </w:r>
    </w:p>
    <w:p w:rsidR="005073CF" w:rsidRDefault="005073CF" w:rsidP="00471A9A">
      <w:pPr>
        <w:tabs>
          <w:tab w:val="left" w:pos="3924"/>
        </w:tabs>
        <w:jc w:val="center"/>
        <w:rPr>
          <w:rFonts w:ascii="Tahoma" w:hAnsi="Tahoma" w:cs="Tahoma"/>
        </w:rPr>
      </w:pPr>
    </w:p>
    <w:p w:rsidR="007B4958" w:rsidRDefault="007B4958" w:rsidP="00EE40F7">
      <w:pPr>
        <w:pStyle w:val="Prrafodelista"/>
        <w:spacing w:before="0" w:after="0" w:line="19" w:lineRule="atLeast"/>
        <w:ind w:left="1080"/>
        <w:rPr>
          <w:rFonts w:ascii="Tahoma" w:hAnsi="Tahoma" w:cs="Tahoma"/>
          <w:b/>
        </w:rPr>
      </w:pPr>
    </w:p>
    <w:p w:rsidR="007B4958" w:rsidRDefault="007B4958" w:rsidP="00EE40F7">
      <w:pPr>
        <w:pStyle w:val="Prrafodelista"/>
        <w:spacing w:before="0" w:after="0" w:line="19" w:lineRule="atLeast"/>
        <w:ind w:left="1080"/>
        <w:rPr>
          <w:rFonts w:ascii="Tahoma" w:hAnsi="Tahoma" w:cs="Tahoma"/>
          <w:b/>
        </w:rPr>
      </w:pPr>
    </w:p>
    <w:p w:rsidR="007B4958" w:rsidRDefault="007B4958" w:rsidP="00EE40F7">
      <w:pPr>
        <w:pStyle w:val="Prrafodelista"/>
        <w:spacing w:before="0" w:after="0" w:line="19" w:lineRule="atLeast"/>
        <w:ind w:left="1080"/>
        <w:rPr>
          <w:rFonts w:ascii="Tahoma" w:hAnsi="Tahoma" w:cs="Tahoma"/>
          <w:b/>
        </w:rPr>
      </w:pPr>
    </w:p>
    <w:p w:rsidR="00D27BCA" w:rsidRPr="00EE40F7" w:rsidRDefault="00EE40F7" w:rsidP="00EE40F7">
      <w:pPr>
        <w:pStyle w:val="Prrafodelista"/>
        <w:spacing w:before="0" w:after="0" w:line="19" w:lineRule="atLeast"/>
        <w:ind w:left="1080"/>
        <w:rPr>
          <w:rFonts w:ascii="Tahoma" w:hAnsi="Tahoma" w:cs="Tahoma"/>
          <w:b/>
        </w:rPr>
      </w:pPr>
      <w:r>
        <w:rPr>
          <w:rFonts w:ascii="Tahoma" w:hAnsi="Tahoma" w:cs="Tahoma"/>
          <w:b/>
        </w:rPr>
        <w:t xml:space="preserve">2.2   </w:t>
      </w:r>
      <w:r w:rsidR="00D27BCA" w:rsidRPr="00EE40F7">
        <w:rPr>
          <w:rFonts w:ascii="Tahoma" w:hAnsi="Tahoma" w:cs="Tahoma"/>
          <w:b/>
        </w:rPr>
        <w:t>ANALISIS A LA EJECUCION  PRESUPUESTAL DE  GASTOS</w:t>
      </w:r>
    </w:p>
    <w:p w:rsidR="007B4958" w:rsidRDefault="007B4958" w:rsidP="00682367">
      <w:pPr>
        <w:tabs>
          <w:tab w:val="left" w:pos="2835"/>
        </w:tabs>
        <w:spacing w:before="0" w:after="0" w:line="19" w:lineRule="atLeast"/>
        <w:jc w:val="both"/>
        <w:rPr>
          <w:rFonts w:ascii="Tahoma" w:hAnsi="Tahoma" w:cs="Tahoma"/>
        </w:rPr>
      </w:pPr>
    </w:p>
    <w:p w:rsidR="00682367" w:rsidRPr="005A5389" w:rsidRDefault="00682367" w:rsidP="00682367">
      <w:pPr>
        <w:tabs>
          <w:tab w:val="left" w:pos="2835"/>
        </w:tabs>
        <w:spacing w:before="0" w:after="0" w:line="19" w:lineRule="atLeast"/>
        <w:jc w:val="both"/>
        <w:rPr>
          <w:rFonts w:ascii="Tahoma" w:eastAsia="Times New Roman" w:hAnsi="Tahoma" w:cs="Tahoma"/>
          <w:bCs/>
          <w:color w:val="auto"/>
        </w:rPr>
      </w:pPr>
      <w:r w:rsidRPr="005540CE">
        <w:rPr>
          <w:rFonts w:ascii="Tahoma" w:hAnsi="Tahoma" w:cs="Tahoma"/>
        </w:rPr>
        <w:t xml:space="preserve">El presupuesto </w:t>
      </w:r>
      <w:r>
        <w:rPr>
          <w:rFonts w:ascii="Tahoma" w:hAnsi="Tahoma" w:cs="Tahoma"/>
        </w:rPr>
        <w:t xml:space="preserve">de </w:t>
      </w:r>
      <w:r w:rsidR="00950A8A">
        <w:rPr>
          <w:rFonts w:ascii="Tahoma" w:hAnsi="Tahoma" w:cs="Tahoma"/>
        </w:rPr>
        <w:t>Gastos</w:t>
      </w:r>
      <w:r>
        <w:rPr>
          <w:rFonts w:ascii="Tahoma" w:hAnsi="Tahoma" w:cs="Tahoma"/>
        </w:rPr>
        <w:t xml:space="preserve"> del Municipio de </w:t>
      </w:r>
      <w:r w:rsidR="005B7FCA">
        <w:rPr>
          <w:rFonts w:ascii="Tahoma" w:hAnsi="Tahoma" w:cs="Tahoma"/>
        </w:rPr>
        <w:t>Casabianca</w:t>
      </w:r>
      <w:r>
        <w:rPr>
          <w:rFonts w:ascii="Tahoma" w:hAnsi="Tahoma" w:cs="Tahoma"/>
        </w:rPr>
        <w:t xml:space="preserve"> para la vigencia fiscal 2015 fue aprobado en la cuantía </w:t>
      </w:r>
      <w:r w:rsidRPr="00E85A59">
        <w:rPr>
          <w:rFonts w:ascii="Tahoma" w:hAnsi="Tahoma" w:cs="Tahoma"/>
        </w:rPr>
        <w:t xml:space="preserve">de </w:t>
      </w:r>
      <w:r w:rsidRPr="00E85A59">
        <w:rPr>
          <w:rFonts w:ascii="Tahoma" w:hAnsi="Tahoma" w:cs="Tahoma"/>
          <w:b/>
          <w:color w:val="auto"/>
        </w:rPr>
        <w:t>$</w:t>
      </w:r>
      <w:r w:rsidR="005B7FCA">
        <w:rPr>
          <w:rFonts w:ascii="Tahoma" w:hAnsi="Tahoma" w:cs="Tahoma"/>
          <w:b/>
          <w:color w:val="auto"/>
        </w:rPr>
        <w:t>5.404.256.378.</w:t>
      </w:r>
      <w:r w:rsidRPr="00E85A59">
        <w:rPr>
          <w:rFonts w:ascii="Tahoma" w:hAnsi="Tahoma" w:cs="Tahoma"/>
          <w:b/>
          <w:color w:val="auto"/>
        </w:rPr>
        <w:t>oo,</w:t>
      </w:r>
      <w:r w:rsidR="00950A8A" w:rsidRPr="00E85A59">
        <w:rPr>
          <w:rFonts w:ascii="Tahoma" w:hAnsi="Tahoma" w:cs="Tahoma"/>
          <w:b/>
          <w:color w:val="auto"/>
        </w:rPr>
        <w:t xml:space="preserve"> </w:t>
      </w:r>
      <w:r w:rsidR="00950A8A" w:rsidRPr="00E85A59">
        <w:rPr>
          <w:rFonts w:ascii="Tahoma" w:hAnsi="Tahoma" w:cs="Tahoma"/>
          <w:color w:val="auto"/>
        </w:rPr>
        <w:t>presentó</w:t>
      </w:r>
      <w:r>
        <w:rPr>
          <w:rFonts w:ascii="Tahoma" w:hAnsi="Tahoma" w:cs="Tahoma"/>
          <w:b/>
          <w:color w:val="auto"/>
        </w:rPr>
        <w:t xml:space="preserve"> </w:t>
      </w:r>
      <w:r w:rsidRPr="00DA6502">
        <w:rPr>
          <w:rFonts w:ascii="Tahoma" w:hAnsi="Tahoma" w:cs="Tahoma"/>
          <w:color w:val="auto"/>
        </w:rPr>
        <w:t>adiciones</w:t>
      </w:r>
      <w:r>
        <w:rPr>
          <w:rFonts w:ascii="Tahoma" w:hAnsi="Tahoma" w:cs="Tahoma"/>
          <w:color w:val="auto"/>
        </w:rPr>
        <w:t xml:space="preserve"> presupuestales por</w:t>
      </w:r>
      <w:r w:rsidRPr="00DA6502">
        <w:rPr>
          <w:rFonts w:ascii="Tahoma" w:hAnsi="Tahoma" w:cs="Tahoma"/>
          <w:color w:val="auto"/>
        </w:rPr>
        <w:t xml:space="preserve"> $</w:t>
      </w:r>
      <w:r w:rsidR="005B7FCA">
        <w:rPr>
          <w:rFonts w:ascii="Tahoma" w:hAnsi="Tahoma" w:cs="Tahoma"/>
          <w:color w:val="auto"/>
        </w:rPr>
        <w:t>7.340.621.371.oo y</w:t>
      </w:r>
      <w:r>
        <w:rPr>
          <w:rFonts w:ascii="Tahoma" w:eastAsia="Times New Roman" w:hAnsi="Tahoma" w:cs="Tahoma"/>
          <w:bCs/>
          <w:color w:val="auto"/>
        </w:rPr>
        <w:t xml:space="preserve"> </w:t>
      </w:r>
      <w:r w:rsidR="005B7FCA">
        <w:rPr>
          <w:rFonts w:ascii="Tahoma" w:eastAsia="Times New Roman" w:hAnsi="Tahoma" w:cs="Tahoma"/>
          <w:bCs/>
          <w:color w:val="auto"/>
        </w:rPr>
        <w:t xml:space="preserve">Reducciones en la suma de $444.405.511.oo, </w:t>
      </w:r>
      <w:r>
        <w:rPr>
          <w:rFonts w:ascii="Tahoma" w:eastAsia="Times New Roman" w:hAnsi="Tahoma" w:cs="Tahoma"/>
          <w:bCs/>
          <w:color w:val="auto"/>
        </w:rPr>
        <w:t>para un presupuesto definitivo a Diciembre 31 de 2015 de $</w:t>
      </w:r>
      <w:r w:rsidR="005B7FCA">
        <w:rPr>
          <w:rFonts w:ascii="Tahoma" w:eastAsia="Times New Roman" w:hAnsi="Tahoma" w:cs="Tahoma"/>
          <w:bCs/>
          <w:color w:val="auto"/>
        </w:rPr>
        <w:t>12.300.472.238.</w:t>
      </w:r>
      <w:r w:rsidRPr="005A5389">
        <w:rPr>
          <w:rFonts w:ascii="Tahoma" w:eastAsia="Times New Roman" w:hAnsi="Tahoma" w:cs="Tahoma"/>
          <w:bCs/>
          <w:color w:val="auto"/>
        </w:rPr>
        <w:t>oo.</w:t>
      </w:r>
    </w:p>
    <w:p w:rsidR="00231ECA" w:rsidRDefault="00231ECA" w:rsidP="00682367">
      <w:pPr>
        <w:tabs>
          <w:tab w:val="left" w:pos="2835"/>
        </w:tabs>
        <w:spacing w:before="0" w:after="0" w:line="19" w:lineRule="atLeast"/>
        <w:jc w:val="both"/>
        <w:rPr>
          <w:rFonts w:ascii="Tahoma" w:eastAsia="Times New Roman" w:hAnsi="Tahoma" w:cs="Tahoma"/>
          <w:b/>
          <w:bCs/>
          <w:color w:val="auto"/>
        </w:rPr>
      </w:pPr>
    </w:p>
    <w:p w:rsidR="00682367" w:rsidRDefault="00682367" w:rsidP="00682367">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ook w:val="04A0" w:firstRow="1" w:lastRow="0" w:firstColumn="1" w:lastColumn="0" w:noHBand="0" w:noVBand="1"/>
      </w:tblPr>
      <w:tblGrid>
        <w:gridCol w:w="2264"/>
        <w:gridCol w:w="1848"/>
        <w:gridCol w:w="2287"/>
        <w:gridCol w:w="2658"/>
      </w:tblGrid>
      <w:tr w:rsidR="005B7FCA" w:rsidRPr="00BA1DE4" w:rsidTr="00DC2BBC">
        <w:trPr>
          <w:trHeight w:val="327"/>
        </w:trPr>
        <w:tc>
          <w:tcPr>
            <w:tcW w:w="2264" w:type="dxa"/>
          </w:tcPr>
          <w:p w:rsidR="005B7FCA" w:rsidRPr="00BA1DE4" w:rsidRDefault="005B7FCA" w:rsidP="00DC2BBC">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INICIAL</w:t>
            </w:r>
          </w:p>
        </w:tc>
        <w:tc>
          <w:tcPr>
            <w:tcW w:w="1848" w:type="dxa"/>
          </w:tcPr>
          <w:p w:rsidR="005B7FCA" w:rsidRPr="00BA1DE4" w:rsidRDefault="005B7FCA" w:rsidP="00DC2BBC">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ADICIONES</w:t>
            </w:r>
          </w:p>
        </w:tc>
        <w:tc>
          <w:tcPr>
            <w:tcW w:w="2287" w:type="dxa"/>
          </w:tcPr>
          <w:p w:rsidR="005B7FCA" w:rsidRPr="00BA1DE4" w:rsidRDefault="005B7FCA" w:rsidP="00DC2BBC">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REDUCCIONES</w:t>
            </w:r>
          </w:p>
        </w:tc>
        <w:tc>
          <w:tcPr>
            <w:tcW w:w="2658" w:type="dxa"/>
          </w:tcPr>
          <w:p w:rsidR="005B7FCA" w:rsidRPr="00BA1DE4" w:rsidRDefault="005B7FCA" w:rsidP="00DC2BBC">
            <w:pPr>
              <w:tabs>
                <w:tab w:val="left" w:pos="2835"/>
              </w:tabs>
              <w:spacing w:before="0" w:line="19" w:lineRule="atLeast"/>
              <w:jc w:val="center"/>
              <w:rPr>
                <w:rFonts w:ascii="Tahoma" w:eastAsia="Times New Roman" w:hAnsi="Tahoma" w:cs="Tahoma"/>
                <w:bCs/>
                <w:color w:val="auto"/>
                <w:sz w:val="18"/>
                <w:szCs w:val="18"/>
              </w:rPr>
            </w:pPr>
            <w:r w:rsidRPr="00BA1DE4">
              <w:rPr>
                <w:rFonts w:ascii="Tahoma" w:eastAsia="Times New Roman" w:hAnsi="Tahoma" w:cs="Tahoma"/>
                <w:bCs/>
                <w:color w:val="auto"/>
                <w:sz w:val="18"/>
                <w:szCs w:val="18"/>
              </w:rPr>
              <w:t>PRESUPUESTO DEFINITIVO</w:t>
            </w:r>
          </w:p>
        </w:tc>
      </w:tr>
      <w:tr w:rsidR="005B7FCA" w:rsidRPr="00BA1DE4" w:rsidTr="00DC2BBC">
        <w:trPr>
          <w:trHeight w:val="551"/>
        </w:trPr>
        <w:tc>
          <w:tcPr>
            <w:tcW w:w="2264" w:type="dxa"/>
          </w:tcPr>
          <w:p w:rsidR="005B7FCA" w:rsidRPr="00DD2AEB" w:rsidRDefault="005B7FCA" w:rsidP="00DC2BBC">
            <w:pPr>
              <w:tabs>
                <w:tab w:val="left" w:pos="2835"/>
              </w:tabs>
              <w:spacing w:before="0" w:line="19" w:lineRule="atLeast"/>
              <w:jc w:val="right"/>
              <w:rPr>
                <w:rFonts w:ascii="Tahoma" w:eastAsia="Times New Roman" w:hAnsi="Tahoma" w:cs="Tahoma"/>
                <w:bCs/>
                <w:color w:val="auto"/>
                <w:sz w:val="18"/>
                <w:szCs w:val="18"/>
                <w:vertAlign w:val="subscript"/>
              </w:rPr>
            </w:pPr>
            <w:r w:rsidRPr="00DD2AEB">
              <w:rPr>
                <w:rFonts w:ascii="Tahoma" w:hAnsi="Tahoma" w:cs="Tahoma"/>
                <w:color w:val="auto"/>
                <w:sz w:val="18"/>
                <w:szCs w:val="18"/>
              </w:rPr>
              <w:t>$5.404.256.378.oo</w:t>
            </w:r>
          </w:p>
        </w:tc>
        <w:tc>
          <w:tcPr>
            <w:tcW w:w="1848" w:type="dxa"/>
          </w:tcPr>
          <w:p w:rsidR="005B7FCA" w:rsidRPr="00DD2AEB" w:rsidRDefault="005B7FCA" w:rsidP="00DC2BBC">
            <w:pPr>
              <w:tabs>
                <w:tab w:val="left" w:pos="2835"/>
              </w:tabs>
              <w:spacing w:before="0" w:line="19" w:lineRule="atLeast"/>
              <w:jc w:val="right"/>
              <w:rPr>
                <w:rFonts w:ascii="Tahoma" w:eastAsia="Times New Roman" w:hAnsi="Tahoma" w:cs="Tahoma"/>
                <w:bCs/>
                <w:color w:val="auto"/>
                <w:sz w:val="18"/>
                <w:szCs w:val="18"/>
                <w:vertAlign w:val="subscript"/>
              </w:rPr>
            </w:pPr>
            <w:r w:rsidRPr="00DD2AEB">
              <w:rPr>
                <w:rFonts w:ascii="Tahoma" w:hAnsi="Tahoma" w:cs="Tahoma"/>
                <w:color w:val="auto"/>
                <w:sz w:val="18"/>
                <w:szCs w:val="18"/>
              </w:rPr>
              <w:t>$7.340.621.371.oo</w:t>
            </w:r>
          </w:p>
        </w:tc>
        <w:tc>
          <w:tcPr>
            <w:tcW w:w="2287" w:type="dxa"/>
          </w:tcPr>
          <w:p w:rsidR="005B7FCA" w:rsidRPr="00DD2AEB" w:rsidRDefault="005B7FCA" w:rsidP="00DC2BBC">
            <w:pPr>
              <w:tabs>
                <w:tab w:val="left" w:pos="2835"/>
              </w:tabs>
              <w:spacing w:before="0" w:line="19" w:lineRule="atLeast"/>
              <w:jc w:val="center"/>
              <w:rPr>
                <w:rFonts w:ascii="Tahoma" w:eastAsia="Times New Roman" w:hAnsi="Tahoma" w:cs="Tahoma"/>
                <w:bCs/>
                <w:color w:val="auto"/>
                <w:sz w:val="18"/>
                <w:szCs w:val="18"/>
                <w:vertAlign w:val="subscript"/>
              </w:rPr>
            </w:pPr>
            <w:r w:rsidRPr="00DD2AEB">
              <w:rPr>
                <w:rFonts w:ascii="Tahoma" w:hAnsi="Tahoma" w:cs="Tahoma"/>
                <w:color w:val="auto"/>
                <w:sz w:val="18"/>
                <w:szCs w:val="18"/>
              </w:rPr>
              <w:t>$444.405.511.oo</w:t>
            </w:r>
          </w:p>
        </w:tc>
        <w:tc>
          <w:tcPr>
            <w:tcW w:w="2658" w:type="dxa"/>
          </w:tcPr>
          <w:p w:rsidR="005B7FCA" w:rsidRPr="00DD2AEB" w:rsidRDefault="005B7FCA" w:rsidP="00DC2BBC">
            <w:pPr>
              <w:tabs>
                <w:tab w:val="left" w:pos="2835"/>
              </w:tabs>
              <w:spacing w:before="0" w:line="19" w:lineRule="atLeast"/>
              <w:jc w:val="right"/>
              <w:rPr>
                <w:rFonts w:ascii="Tahoma" w:eastAsia="Times New Roman" w:hAnsi="Tahoma" w:cs="Tahoma"/>
                <w:bCs/>
                <w:color w:val="auto"/>
                <w:sz w:val="18"/>
                <w:szCs w:val="18"/>
                <w:vertAlign w:val="subscript"/>
              </w:rPr>
            </w:pPr>
            <w:r w:rsidRPr="00DD2AEB">
              <w:rPr>
                <w:rFonts w:ascii="Tahoma" w:eastAsia="Times New Roman" w:hAnsi="Tahoma" w:cs="Tahoma"/>
                <w:bCs/>
                <w:color w:val="auto"/>
                <w:sz w:val="18"/>
                <w:szCs w:val="18"/>
              </w:rPr>
              <w:t>$12.300.472.238.oo</w:t>
            </w:r>
          </w:p>
        </w:tc>
      </w:tr>
    </w:tbl>
    <w:p w:rsidR="00682367" w:rsidRDefault="00682367" w:rsidP="00C142B1">
      <w:pPr>
        <w:spacing w:before="0" w:after="0"/>
        <w:jc w:val="both"/>
        <w:rPr>
          <w:rFonts w:ascii="Tahoma" w:hAnsi="Tahoma" w:cs="Tahoma"/>
          <w:szCs w:val="24"/>
        </w:rPr>
      </w:pPr>
    </w:p>
    <w:p w:rsidR="00231ECA" w:rsidRDefault="00231ECA" w:rsidP="00C142B1">
      <w:pPr>
        <w:spacing w:before="0" w:after="0"/>
        <w:jc w:val="both"/>
        <w:rPr>
          <w:rFonts w:ascii="Tahoma" w:hAnsi="Tahoma" w:cs="Tahoma"/>
          <w:szCs w:val="24"/>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r w:rsidR="00F11ED6">
        <w:rPr>
          <w:rFonts w:ascii="Tahoma" w:hAnsi="Tahoma" w:cs="Tahoma"/>
          <w:b/>
          <w:bCs/>
        </w:rPr>
        <w:t xml:space="preserve">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 xml:space="preserve">El presupuesto </w:t>
      </w:r>
      <w:r w:rsidR="00396D78">
        <w:rPr>
          <w:rFonts w:ascii="Tahoma" w:hAnsi="Tahoma" w:cs="Tahoma"/>
          <w:color w:val="auto"/>
        </w:rPr>
        <w:t xml:space="preserve">inicial </w:t>
      </w:r>
      <w:r w:rsidRPr="00C32B9A">
        <w:rPr>
          <w:rFonts w:ascii="Tahoma" w:hAnsi="Tahoma" w:cs="Tahoma"/>
          <w:color w:val="auto"/>
        </w:rPr>
        <w:t xml:space="preserve">de Gastos aprobado para la vigencia 2015 del Municipio  de </w:t>
      </w:r>
      <w:r w:rsidR="00AC0922">
        <w:rPr>
          <w:rFonts w:ascii="Tahoma" w:hAnsi="Tahoma" w:cs="Tahoma"/>
          <w:color w:val="auto"/>
        </w:rPr>
        <w:t>Casabianca</w:t>
      </w:r>
      <w:r w:rsidRPr="00C32B9A">
        <w:rPr>
          <w:rFonts w:ascii="Tahoma" w:hAnsi="Tahoma" w:cs="Tahoma"/>
          <w:color w:val="auto"/>
        </w:rPr>
        <w:t xml:space="preserve"> Tolima, fue de $</w:t>
      </w:r>
      <w:r w:rsidR="00AC0922">
        <w:rPr>
          <w:rFonts w:ascii="Tahoma" w:hAnsi="Tahoma" w:cs="Tahoma"/>
          <w:color w:val="auto"/>
        </w:rPr>
        <w:t>5.404</w:t>
      </w:r>
      <w:r w:rsidR="00881C9C">
        <w:rPr>
          <w:rFonts w:ascii="Tahoma" w:hAnsi="Tahoma" w:cs="Tahoma"/>
          <w:color w:val="auto"/>
        </w:rPr>
        <w:t xml:space="preserve"> millones</w:t>
      </w:r>
      <w:r w:rsidRPr="00C32B9A">
        <w:rPr>
          <w:rFonts w:ascii="Tahoma" w:hAnsi="Tahoma" w:cs="Tahoma"/>
          <w:color w:val="auto"/>
        </w:rPr>
        <w:t>, de los cuales $</w:t>
      </w:r>
      <w:r w:rsidR="001F1899">
        <w:rPr>
          <w:rFonts w:ascii="Tahoma" w:hAnsi="Tahoma" w:cs="Tahoma"/>
          <w:color w:val="auto"/>
        </w:rPr>
        <w:t>616</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w:t>
      </w:r>
      <w:r w:rsidR="001F1899">
        <w:rPr>
          <w:rFonts w:ascii="Tahoma" w:hAnsi="Tahoma" w:cs="Tahoma"/>
          <w:color w:val="auto"/>
        </w:rPr>
        <w:t>11.39</w:t>
      </w:r>
      <w:r w:rsidR="00234DD4">
        <w:rPr>
          <w:rFonts w:ascii="Tahoma" w:hAnsi="Tahoma" w:cs="Tahoma"/>
          <w:color w:val="auto"/>
        </w:rPr>
        <w:t>%</w:t>
      </w:r>
      <w:r w:rsidRPr="00C32B9A">
        <w:rPr>
          <w:rFonts w:ascii="Tahoma" w:hAnsi="Tahoma" w:cs="Tahoma"/>
          <w:color w:val="auto"/>
        </w:rPr>
        <w:t xml:space="preserve"> y $</w:t>
      </w:r>
      <w:r w:rsidR="00234DD4">
        <w:rPr>
          <w:rFonts w:ascii="Tahoma" w:hAnsi="Tahoma" w:cs="Tahoma"/>
          <w:color w:val="auto"/>
        </w:rPr>
        <w:t>4</w:t>
      </w:r>
      <w:r w:rsidR="00791734">
        <w:rPr>
          <w:rFonts w:ascii="Tahoma" w:hAnsi="Tahoma" w:cs="Tahoma"/>
          <w:color w:val="auto"/>
        </w:rPr>
        <w:t>.</w:t>
      </w:r>
      <w:r w:rsidR="00234DD4">
        <w:rPr>
          <w:rFonts w:ascii="Tahoma" w:hAnsi="Tahoma" w:cs="Tahoma"/>
          <w:color w:val="auto"/>
        </w:rPr>
        <w:t>78</w:t>
      </w:r>
      <w:r w:rsidR="00791734">
        <w:rPr>
          <w:rFonts w:ascii="Tahoma" w:hAnsi="Tahoma" w:cs="Tahoma"/>
          <w:color w:val="auto"/>
        </w:rPr>
        <w:t>8</w:t>
      </w:r>
      <w:r w:rsidR="00881C9C">
        <w:rPr>
          <w:rFonts w:ascii="Tahoma" w:hAnsi="Tahoma" w:cs="Tahoma"/>
          <w:color w:val="auto"/>
        </w:rPr>
        <w:t xml:space="preserve"> millones</w:t>
      </w:r>
      <w:r w:rsidRPr="00C32B9A">
        <w:rPr>
          <w:rFonts w:ascii="Tahoma" w:hAnsi="Tahoma" w:cs="Tahoma"/>
          <w:color w:val="auto"/>
        </w:rPr>
        <w:t xml:space="preserve"> a Gastos de Inversión, con un </w:t>
      </w:r>
      <w:r w:rsidR="00234DD4">
        <w:rPr>
          <w:rFonts w:ascii="Tahoma" w:hAnsi="Tahoma" w:cs="Tahoma"/>
          <w:color w:val="auto"/>
        </w:rPr>
        <w:t>88.60</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231ECA" w:rsidRPr="00C32B9A" w:rsidRDefault="00231ECA" w:rsidP="00C32B9A">
      <w:pPr>
        <w:spacing w:before="0" w:after="0"/>
        <w:jc w:val="both"/>
        <w:rPr>
          <w:rFonts w:ascii="Tahoma" w:hAnsi="Tahoma" w:cs="Tahoma"/>
          <w:color w:val="auto"/>
        </w:rPr>
      </w:pPr>
    </w:p>
    <w:p w:rsidR="00C32B9A" w:rsidRDefault="00C32B9A" w:rsidP="00C32B9A">
      <w:pPr>
        <w:spacing w:before="0" w:after="0"/>
        <w:jc w:val="both"/>
        <w:rPr>
          <w:rFonts w:ascii="Tahoma" w:hAnsi="Tahoma" w:cs="Tahoma"/>
          <w:color w:val="auto"/>
        </w:rPr>
      </w:pPr>
    </w:p>
    <w:p w:rsidR="00C32B9A" w:rsidRDefault="00234DD4" w:rsidP="0020791F">
      <w:pPr>
        <w:spacing w:before="0" w:after="0"/>
        <w:jc w:val="center"/>
        <w:rPr>
          <w:rFonts w:ascii="Tahoma" w:hAnsi="Tahoma" w:cs="Tahoma"/>
          <w:bCs/>
          <w:color w:val="auto"/>
          <w:szCs w:val="16"/>
        </w:rPr>
      </w:pPr>
      <w:r>
        <w:rPr>
          <w:rFonts w:ascii="Tahoma" w:hAnsi="Tahoma" w:cs="Tahoma"/>
          <w:bCs/>
          <w:noProof/>
          <w:color w:val="auto"/>
          <w:szCs w:val="16"/>
        </w:rPr>
        <w:drawing>
          <wp:inline distT="0" distB="0" distL="0" distR="0">
            <wp:extent cx="4795200" cy="2282400"/>
            <wp:effectExtent l="0" t="0" r="24765" b="2286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32B9A" w:rsidRDefault="00C32B9A" w:rsidP="00C32B9A">
      <w:pPr>
        <w:spacing w:before="0" w:after="0"/>
        <w:jc w:val="both"/>
        <w:rPr>
          <w:rFonts w:ascii="Tahoma" w:hAnsi="Tahoma" w:cs="Tahoma"/>
          <w:bCs/>
          <w:color w:val="auto"/>
          <w:szCs w:val="16"/>
        </w:rPr>
      </w:pPr>
    </w:p>
    <w:p w:rsidR="00C32B9A" w:rsidRDefault="00C32B9A" w:rsidP="00C32B9A">
      <w:pPr>
        <w:spacing w:before="0" w:after="0"/>
        <w:rPr>
          <w:rFonts w:ascii="Tahoma" w:hAnsi="Tahoma" w:cs="Tahoma"/>
          <w:color w:val="auto"/>
        </w:rPr>
      </w:pPr>
    </w:p>
    <w:p w:rsidR="00C32B9A" w:rsidRPr="00B761E4" w:rsidRDefault="00C32B9A" w:rsidP="00C32B9A">
      <w:pPr>
        <w:spacing w:before="0" w:after="0"/>
        <w:rPr>
          <w:rFonts w:ascii="Tahoma" w:hAnsi="Tahoma" w:cs="Tahoma"/>
          <w:b/>
          <w:szCs w:val="24"/>
        </w:rPr>
      </w:pPr>
      <w:r>
        <w:rPr>
          <w:rFonts w:ascii="Tahoma" w:hAnsi="Tahoma" w:cs="Tahoma"/>
          <w:color w:val="auto"/>
        </w:rPr>
        <w:lastRenderedPageBreak/>
        <w:br w:type="textWrapping" w:clear="all"/>
      </w:r>
    </w:p>
    <w:p w:rsidR="00231ECA" w:rsidRDefault="00231ECA" w:rsidP="00595DA7">
      <w:pPr>
        <w:spacing w:before="0" w:after="0"/>
        <w:jc w:val="both"/>
        <w:rPr>
          <w:rFonts w:ascii="Tahoma" w:hAnsi="Tahoma" w:cs="Tahoma"/>
          <w:b/>
          <w:color w:val="auto"/>
        </w:rPr>
      </w:pPr>
    </w:p>
    <w:p w:rsidR="00595DA7" w:rsidRDefault="00595DA7" w:rsidP="00595DA7">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A441FE">
        <w:rPr>
          <w:rFonts w:ascii="Tahoma" w:hAnsi="Tahoma" w:cs="Tahoma"/>
          <w:color w:val="auto"/>
        </w:rPr>
        <w:t>309</w:t>
      </w:r>
      <w:r w:rsidR="00881C9C">
        <w:rPr>
          <w:rFonts w:ascii="Tahoma" w:hAnsi="Tahoma" w:cs="Tahoma"/>
          <w:color w:val="auto"/>
        </w:rPr>
        <w:t xml:space="preserve"> millones</w:t>
      </w:r>
      <w:r w:rsidR="00815CEE">
        <w:rPr>
          <w:rFonts w:ascii="Tahoma" w:hAnsi="Tahoma" w:cs="Tahoma"/>
          <w:color w:val="auto"/>
        </w:rPr>
        <w:t xml:space="preserve">, es decir con un </w:t>
      </w:r>
      <w:r w:rsidR="00A441FE">
        <w:rPr>
          <w:rFonts w:ascii="Tahoma" w:hAnsi="Tahoma" w:cs="Tahoma"/>
          <w:color w:val="auto"/>
        </w:rPr>
        <w:t>5.73</w:t>
      </w:r>
      <w:r w:rsidR="00815CEE" w:rsidRPr="00E026F1">
        <w:rPr>
          <w:rFonts w:ascii="Tahoma" w:hAnsi="Tahoma" w:cs="Tahoma"/>
          <w:b/>
          <w:color w:val="auto"/>
        </w:rPr>
        <w:t>%</w:t>
      </w:r>
      <w:r w:rsidR="005325B4" w:rsidRPr="00E026F1">
        <w:rPr>
          <w:rFonts w:ascii="Tahoma" w:hAnsi="Tahoma" w:cs="Tahoma"/>
          <w:b/>
          <w:color w:val="auto"/>
        </w:rPr>
        <w:t>,</w:t>
      </w:r>
      <w:r w:rsidR="005325B4">
        <w:rPr>
          <w:rFonts w:ascii="Tahoma" w:hAnsi="Tahoma" w:cs="Tahoma"/>
          <w:color w:val="auto"/>
        </w:rPr>
        <w:t xml:space="preserve"> Transferencias</w:t>
      </w:r>
      <w:r w:rsidR="00815CEE">
        <w:rPr>
          <w:rFonts w:ascii="Tahoma" w:hAnsi="Tahoma" w:cs="Tahoma"/>
          <w:color w:val="auto"/>
        </w:rPr>
        <w:t xml:space="preserve"> con $</w:t>
      </w:r>
      <w:r w:rsidR="00A441FE">
        <w:rPr>
          <w:rFonts w:ascii="Tahoma" w:hAnsi="Tahoma" w:cs="Tahoma"/>
          <w:color w:val="auto"/>
        </w:rPr>
        <w:t>49</w:t>
      </w:r>
      <w:r w:rsidR="00881C9C">
        <w:rPr>
          <w:rFonts w:ascii="Tahoma" w:hAnsi="Tahoma" w:cs="Tahoma"/>
          <w:color w:val="auto"/>
        </w:rPr>
        <w:t xml:space="preserve"> millones</w:t>
      </w:r>
      <w:r w:rsidR="00815CEE">
        <w:rPr>
          <w:rFonts w:ascii="Tahoma" w:hAnsi="Tahoma" w:cs="Tahoma"/>
          <w:color w:val="auto"/>
        </w:rPr>
        <w:t xml:space="preserve"> y un </w:t>
      </w:r>
      <w:r w:rsidR="00A441FE">
        <w:rPr>
          <w:rFonts w:ascii="Tahoma" w:hAnsi="Tahoma" w:cs="Tahoma"/>
          <w:color w:val="auto"/>
        </w:rPr>
        <w:t>0.92</w:t>
      </w:r>
      <w:r w:rsidR="00815CEE" w:rsidRPr="00881C9C">
        <w:rPr>
          <w:rFonts w:ascii="Tahoma" w:hAnsi="Tahoma" w:cs="Tahoma"/>
          <w:b/>
          <w:color w:val="auto"/>
        </w:rPr>
        <w:t>%</w:t>
      </w:r>
      <w:r w:rsidR="00815CEE">
        <w:rPr>
          <w:rFonts w:ascii="Tahoma" w:hAnsi="Tahoma" w:cs="Tahoma"/>
          <w:color w:val="auto"/>
        </w:rPr>
        <w:t xml:space="preserve"> </w:t>
      </w:r>
      <w:r w:rsidR="005325B4">
        <w:rPr>
          <w:rFonts w:ascii="Tahoma" w:hAnsi="Tahoma" w:cs="Tahoma"/>
          <w:color w:val="auto"/>
        </w:rPr>
        <w:t xml:space="preserve"> y Gastos Generales</w:t>
      </w:r>
      <w:r w:rsidR="00881C9C">
        <w:rPr>
          <w:rFonts w:ascii="Tahoma" w:hAnsi="Tahoma" w:cs="Tahoma"/>
          <w:color w:val="auto"/>
        </w:rPr>
        <w:t xml:space="preserve"> con $</w:t>
      </w:r>
      <w:r w:rsidR="00A441FE">
        <w:rPr>
          <w:rFonts w:ascii="Tahoma" w:hAnsi="Tahoma" w:cs="Tahoma"/>
          <w:color w:val="auto"/>
        </w:rPr>
        <w:t>70</w:t>
      </w:r>
      <w:r w:rsidR="00881C9C">
        <w:rPr>
          <w:rFonts w:ascii="Tahoma" w:hAnsi="Tahoma" w:cs="Tahoma"/>
          <w:color w:val="auto"/>
        </w:rPr>
        <w:t xml:space="preserve"> millones</w:t>
      </w:r>
      <w:r w:rsidR="00817D8E">
        <w:rPr>
          <w:rFonts w:ascii="Tahoma" w:hAnsi="Tahoma" w:cs="Tahoma"/>
          <w:color w:val="auto"/>
        </w:rPr>
        <w:t xml:space="preserve"> con un </w:t>
      </w:r>
      <w:r w:rsidR="00E6303E">
        <w:rPr>
          <w:rFonts w:ascii="Tahoma" w:hAnsi="Tahoma" w:cs="Tahoma"/>
          <w:color w:val="auto"/>
        </w:rPr>
        <w:t>1</w:t>
      </w:r>
      <w:r w:rsidR="00A441FE">
        <w:rPr>
          <w:rFonts w:ascii="Tahoma" w:hAnsi="Tahoma" w:cs="Tahoma"/>
          <w:color w:val="auto"/>
        </w:rPr>
        <w:t>.31</w:t>
      </w:r>
      <w:r w:rsidR="00E6303E">
        <w:rPr>
          <w:rFonts w:ascii="Tahoma" w:hAnsi="Tahoma" w:cs="Tahoma"/>
          <w:color w:val="auto"/>
        </w:rPr>
        <w:t>%</w:t>
      </w:r>
      <w:r w:rsidR="00685A7B">
        <w:rPr>
          <w:rFonts w:ascii="Tahoma" w:hAnsi="Tahoma" w:cs="Tahoma"/>
          <w:b/>
          <w:color w:val="auto"/>
        </w:rPr>
        <w:t xml:space="preserve">. </w:t>
      </w:r>
      <w:r w:rsidR="00817D8E">
        <w:rPr>
          <w:rFonts w:ascii="Tahoma" w:hAnsi="Tahoma" w:cs="Tahoma"/>
          <w:color w:val="auto"/>
        </w:rPr>
        <w:t xml:space="preserve"> </w:t>
      </w:r>
    </w:p>
    <w:p w:rsidR="00595DA7" w:rsidRDefault="00595DA7" w:rsidP="00595DA7">
      <w:pPr>
        <w:spacing w:before="0" w:after="0"/>
        <w:rPr>
          <w:rFonts w:ascii="Tahoma" w:hAnsi="Tahoma" w:cs="Tahoma"/>
          <w:color w:val="auto"/>
        </w:rPr>
      </w:pPr>
    </w:p>
    <w:p w:rsidR="00595DA7" w:rsidRDefault="00EF1F54" w:rsidP="001D6862">
      <w:pPr>
        <w:spacing w:before="0" w:after="0"/>
        <w:rPr>
          <w:rFonts w:ascii="Tahoma" w:hAnsi="Tahoma" w:cs="Tahoma"/>
          <w:b/>
          <w:szCs w:val="24"/>
        </w:rPr>
      </w:pPr>
      <w:r>
        <w:rPr>
          <w:rFonts w:ascii="Tahoma" w:hAnsi="Tahoma" w:cs="Tahoma"/>
          <w:noProof/>
          <w:color w:val="auto"/>
        </w:rPr>
        <w:drawing>
          <wp:inline distT="0" distB="0" distL="0" distR="0" wp14:anchorId="3CB68A0F" wp14:editId="41DB2496">
            <wp:extent cx="5486400" cy="2857500"/>
            <wp:effectExtent l="0" t="0" r="19050" b="1905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A0FB7" w:rsidRDefault="00AA0FB7" w:rsidP="00595DA7">
      <w:pPr>
        <w:spacing w:before="0" w:after="0"/>
        <w:jc w:val="both"/>
        <w:rPr>
          <w:rFonts w:ascii="Tahoma" w:hAnsi="Tahoma" w:cs="Tahoma"/>
          <w:color w:val="auto"/>
        </w:rPr>
      </w:pPr>
    </w:p>
    <w:p w:rsidR="001E2CF6" w:rsidRDefault="00595DA7" w:rsidP="009627C2">
      <w:pPr>
        <w:spacing w:before="0" w:after="0"/>
        <w:jc w:val="both"/>
        <w:rPr>
          <w:rFonts w:ascii="Tahoma" w:hAnsi="Tahoma" w:cs="Tahoma"/>
          <w:color w:val="auto"/>
        </w:rPr>
      </w:pPr>
      <w:r w:rsidRPr="00E255C8">
        <w:rPr>
          <w:rFonts w:ascii="Tahoma" w:hAnsi="Tahoma" w:cs="Tahoma"/>
          <w:b/>
          <w:color w:val="auto"/>
        </w:rPr>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9627C2">
        <w:rPr>
          <w:rFonts w:ascii="Tahoma" w:hAnsi="Tahoma" w:cs="Tahoma"/>
          <w:color w:val="auto"/>
        </w:rPr>
        <w:t xml:space="preserve">Sector Salud con un </w:t>
      </w:r>
      <w:r w:rsidR="00727872">
        <w:rPr>
          <w:rFonts w:ascii="Tahoma" w:hAnsi="Tahoma" w:cs="Tahoma"/>
          <w:color w:val="auto"/>
        </w:rPr>
        <w:t>56.95</w:t>
      </w:r>
      <w:r w:rsidR="009627C2">
        <w:rPr>
          <w:rFonts w:ascii="Tahoma" w:hAnsi="Tahoma" w:cs="Tahoma"/>
          <w:color w:val="auto"/>
        </w:rPr>
        <w:t xml:space="preserve">%, Sector  </w:t>
      </w:r>
      <w:r w:rsidR="001F1A9A">
        <w:rPr>
          <w:rFonts w:ascii="Tahoma" w:hAnsi="Tahoma" w:cs="Tahoma"/>
          <w:color w:val="auto"/>
        </w:rPr>
        <w:t>Saneamiento Básico 6.16</w:t>
      </w:r>
      <w:r w:rsidR="009627C2">
        <w:rPr>
          <w:rFonts w:ascii="Tahoma" w:hAnsi="Tahoma" w:cs="Tahoma"/>
          <w:color w:val="auto"/>
        </w:rPr>
        <w:t xml:space="preserve">%, Sector </w:t>
      </w:r>
      <w:r w:rsidR="001F1A9A">
        <w:rPr>
          <w:rFonts w:ascii="Tahoma" w:hAnsi="Tahoma" w:cs="Tahoma"/>
          <w:color w:val="auto"/>
        </w:rPr>
        <w:t>transporte 5.76</w:t>
      </w:r>
      <w:r w:rsidR="009627C2">
        <w:rPr>
          <w:rFonts w:ascii="Tahoma" w:hAnsi="Tahoma" w:cs="Tahoma"/>
          <w:color w:val="auto"/>
        </w:rPr>
        <w:t xml:space="preserve">%, Sector </w:t>
      </w:r>
      <w:r w:rsidR="001F1A9A">
        <w:rPr>
          <w:rFonts w:ascii="Tahoma" w:hAnsi="Tahoma" w:cs="Tahoma"/>
          <w:color w:val="auto"/>
        </w:rPr>
        <w:t>Agropecuario</w:t>
      </w:r>
      <w:r w:rsidR="009627C2">
        <w:rPr>
          <w:rFonts w:ascii="Tahoma" w:hAnsi="Tahoma" w:cs="Tahoma"/>
          <w:color w:val="auto"/>
        </w:rPr>
        <w:t xml:space="preserve"> </w:t>
      </w:r>
      <w:r w:rsidR="001F1A9A">
        <w:rPr>
          <w:rFonts w:ascii="Tahoma" w:hAnsi="Tahoma" w:cs="Tahoma"/>
          <w:color w:val="auto"/>
        </w:rPr>
        <w:t>1.51</w:t>
      </w:r>
      <w:r w:rsidR="009627C2">
        <w:rPr>
          <w:rFonts w:ascii="Tahoma" w:hAnsi="Tahoma" w:cs="Tahoma"/>
          <w:color w:val="auto"/>
        </w:rPr>
        <w:t xml:space="preserve">%, Sector </w:t>
      </w:r>
      <w:r w:rsidR="001F1A9A">
        <w:rPr>
          <w:rFonts w:ascii="Tahoma" w:hAnsi="Tahoma" w:cs="Tahoma"/>
          <w:color w:val="auto"/>
        </w:rPr>
        <w:t>Defensa</w:t>
      </w:r>
      <w:r w:rsidR="009627C2">
        <w:rPr>
          <w:rFonts w:ascii="Tahoma" w:hAnsi="Tahoma" w:cs="Tahoma"/>
          <w:color w:val="auto"/>
        </w:rPr>
        <w:t xml:space="preserve"> </w:t>
      </w:r>
      <w:r w:rsidR="001F1A9A">
        <w:rPr>
          <w:rFonts w:ascii="Tahoma" w:hAnsi="Tahoma" w:cs="Tahoma"/>
          <w:color w:val="auto"/>
        </w:rPr>
        <w:t>1.44</w:t>
      </w:r>
      <w:r w:rsidR="009627C2">
        <w:rPr>
          <w:rFonts w:ascii="Tahoma" w:hAnsi="Tahoma" w:cs="Tahoma"/>
          <w:color w:val="auto"/>
        </w:rPr>
        <w:t xml:space="preserve">%, Sector </w:t>
      </w:r>
      <w:r w:rsidR="001F1A9A">
        <w:rPr>
          <w:rFonts w:ascii="Tahoma" w:hAnsi="Tahoma" w:cs="Tahoma"/>
          <w:color w:val="auto"/>
        </w:rPr>
        <w:t>Medio Ambiente 1.18%</w:t>
      </w:r>
      <w:r w:rsidR="009627C2">
        <w:rPr>
          <w:rFonts w:ascii="Tahoma" w:hAnsi="Tahoma" w:cs="Tahoma"/>
          <w:color w:val="auto"/>
        </w:rPr>
        <w:t xml:space="preserve">%, Sector </w:t>
      </w:r>
      <w:r w:rsidR="001F1A9A">
        <w:rPr>
          <w:rFonts w:ascii="Tahoma" w:hAnsi="Tahoma" w:cs="Tahoma"/>
          <w:color w:val="auto"/>
        </w:rPr>
        <w:t>Gobierno 0.93%</w:t>
      </w:r>
      <w:r w:rsidR="009627C2">
        <w:rPr>
          <w:rFonts w:ascii="Tahoma" w:hAnsi="Tahoma" w:cs="Tahoma"/>
          <w:color w:val="auto"/>
        </w:rPr>
        <w:t xml:space="preserve"> y otros Sectores </w:t>
      </w:r>
      <w:r w:rsidR="001F1A9A">
        <w:rPr>
          <w:rFonts w:ascii="Tahoma" w:hAnsi="Tahoma" w:cs="Tahoma"/>
          <w:color w:val="auto"/>
        </w:rPr>
        <w:t>4.34</w:t>
      </w:r>
      <w:r w:rsidR="009627C2">
        <w:rPr>
          <w:rFonts w:ascii="Tahoma" w:hAnsi="Tahoma" w:cs="Tahoma"/>
          <w:color w:val="auto"/>
        </w:rPr>
        <w:t>%</w:t>
      </w:r>
    </w:p>
    <w:p w:rsidR="007D17E3" w:rsidRDefault="007D17E3" w:rsidP="009627C2">
      <w:pPr>
        <w:spacing w:before="0" w:after="0"/>
        <w:jc w:val="both"/>
        <w:rPr>
          <w:rFonts w:ascii="Tahoma" w:hAnsi="Tahoma" w:cs="Tahoma"/>
          <w:b/>
          <w:szCs w:val="24"/>
        </w:rPr>
      </w:pPr>
    </w:p>
    <w:p w:rsidR="005325B4" w:rsidRDefault="003C37C0" w:rsidP="00815CEE">
      <w:pPr>
        <w:spacing w:before="0" w:after="0"/>
        <w:jc w:val="center"/>
        <w:rPr>
          <w:rFonts w:ascii="Tahoma" w:hAnsi="Tahoma" w:cs="Tahoma"/>
          <w:b/>
          <w:szCs w:val="24"/>
        </w:rPr>
      </w:pPr>
      <w:r>
        <w:rPr>
          <w:noProof/>
        </w:rPr>
        <w:lastRenderedPageBreak/>
        <w:drawing>
          <wp:inline distT="0" distB="0" distL="0" distR="0" wp14:anchorId="4842B00C" wp14:editId="41F499CE">
            <wp:extent cx="5608800" cy="4536000"/>
            <wp:effectExtent l="0" t="0" r="11430" b="1714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15CEE" w:rsidRDefault="00815CEE" w:rsidP="001D6862">
      <w:pPr>
        <w:spacing w:before="0" w:after="0"/>
        <w:rPr>
          <w:rFonts w:ascii="Tahoma" w:hAnsi="Tahoma" w:cs="Tahoma"/>
          <w:b/>
          <w:szCs w:val="24"/>
        </w:rPr>
      </w:pPr>
    </w:p>
    <w:p w:rsidR="00616820" w:rsidRDefault="00AC4815" w:rsidP="00771F35">
      <w:pPr>
        <w:tabs>
          <w:tab w:val="left" w:pos="1000"/>
        </w:tabs>
        <w:spacing w:before="0" w:after="0"/>
        <w:jc w:val="both"/>
        <w:rPr>
          <w:rFonts w:ascii="Tahoma" w:eastAsia="Times New Roman" w:hAnsi="Tahoma" w:cs="Tahoma"/>
          <w:color w:val="auto"/>
        </w:rPr>
      </w:pPr>
      <w:r w:rsidRPr="00AC4815">
        <w:rPr>
          <w:rFonts w:ascii="Tahoma" w:hAnsi="Tahoma" w:cs="Tahoma"/>
          <w:color w:val="auto"/>
        </w:rPr>
        <w:t xml:space="preserve">De la ejecución presupuestal,  se pudo observar que la mayor inversión se destinó al </w:t>
      </w:r>
      <w:r w:rsidR="00616820">
        <w:rPr>
          <w:rFonts w:ascii="Tahoma" w:hAnsi="Tahoma" w:cs="Tahoma"/>
          <w:color w:val="auto"/>
        </w:rPr>
        <w:t xml:space="preserve">Sector Salud con un 56.95% </w:t>
      </w:r>
      <w:r w:rsidR="00771F35">
        <w:rPr>
          <w:rFonts w:ascii="Tahoma" w:hAnsi="Tahoma" w:cs="Tahoma"/>
          <w:color w:val="auto"/>
        </w:rPr>
        <w:t>equivalentes a $</w:t>
      </w:r>
      <w:r w:rsidR="00616820">
        <w:rPr>
          <w:rFonts w:ascii="Tahoma" w:hAnsi="Tahoma" w:cs="Tahoma"/>
          <w:color w:val="auto"/>
        </w:rPr>
        <w:t>3.077</w:t>
      </w:r>
      <w:r w:rsidR="00771F35">
        <w:rPr>
          <w:rFonts w:ascii="Tahoma" w:hAnsi="Tahoma" w:cs="Tahoma"/>
          <w:color w:val="auto"/>
        </w:rPr>
        <w:t xml:space="preserve"> millones, </w:t>
      </w:r>
      <w:r w:rsidR="00616820">
        <w:rPr>
          <w:rFonts w:ascii="Tahoma" w:hAnsi="Tahoma" w:cs="Tahoma"/>
          <w:color w:val="auto"/>
        </w:rPr>
        <w:t xml:space="preserve">Saneamiento Básico con un 6.16%, </w:t>
      </w:r>
      <w:r w:rsidRPr="00AC4815">
        <w:rPr>
          <w:rFonts w:ascii="Tahoma" w:hAnsi="Tahoma" w:cs="Tahoma"/>
          <w:color w:val="auto"/>
        </w:rPr>
        <w:t>equivalentes a $</w:t>
      </w:r>
      <w:r w:rsidR="00616820">
        <w:rPr>
          <w:rFonts w:ascii="Tahoma" w:hAnsi="Tahoma" w:cs="Tahoma"/>
          <w:color w:val="auto"/>
        </w:rPr>
        <w:t>332</w:t>
      </w:r>
      <w:r w:rsidR="00881C9C">
        <w:rPr>
          <w:rFonts w:ascii="Tahoma" w:eastAsia="Times New Roman" w:hAnsi="Tahoma" w:cs="Tahoma"/>
          <w:color w:val="auto"/>
        </w:rPr>
        <w:t xml:space="preserve"> millones</w:t>
      </w:r>
      <w:r w:rsidRPr="00AC4815">
        <w:rPr>
          <w:rFonts w:ascii="Tahoma" w:eastAsia="Times New Roman" w:hAnsi="Tahoma" w:cs="Tahoma"/>
          <w:color w:val="auto"/>
        </w:rPr>
        <w:t>, seguidos de</w:t>
      </w:r>
      <w:r w:rsidR="00616820">
        <w:rPr>
          <w:rFonts w:ascii="Tahoma" w:eastAsia="Times New Roman" w:hAnsi="Tahoma" w:cs="Tahoma"/>
          <w:color w:val="auto"/>
        </w:rPr>
        <w:t>l</w:t>
      </w:r>
      <w:r w:rsidR="00817D8E">
        <w:rPr>
          <w:rFonts w:ascii="Tahoma" w:eastAsia="Times New Roman" w:hAnsi="Tahoma" w:cs="Tahoma"/>
          <w:color w:val="auto"/>
        </w:rPr>
        <w:t xml:space="preserve"> </w:t>
      </w:r>
      <w:r w:rsidR="007D17E3">
        <w:rPr>
          <w:rFonts w:ascii="Tahoma" w:eastAsia="Times New Roman" w:hAnsi="Tahoma" w:cs="Tahoma"/>
          <w:color w:val="auto"/>
        </w:rPr>
        <w:t xml:space="preserve">Sector </w:t>
      </w:r>
      <w:r w:rsidR="00616820">
        <w:rPr>
          <w:rFonts w:ascii="Tahoma" w:eastAsia="Times New Roman" w:hAnsi="Tahoma" w:cs="Tahoma"/>
          <w:color w:val="auto"/>
        </w:rPr>
        <w:t>Transporte con un 5.76%</w:t>
      </w:r>
      <w:r w:rsidR="007D17E3">
        <w:rPr>
          <w:rFonts w:ascii="Tahoma" w:eastAsia="Times New Roman" w:hAnsi="Tahoma" w:cs="Tahoma"/>
          <w:color w:val="auto"/>
        </w:rPr>
        <w:t xml:space="preserve"> equivalentes a $</w:t>
      </w:r>
      <w:r w:rsidR="00616820">
        <w:rPr>
          <w:rFonts w:ascii="Tahoma" w:eastAsia="Times New Roman" w:hAnsi="Tahoma" w:cs="Tahoma"/>
          <w:color w:val="auto"/>
        </w:rPr>
        <w:t>311</w:t>
      </w:r>
      <w:r w:rsidR="007D17E3">
        <w:rPr>
          <w:rFonts w:ascii="Tahoma" w:eastAsia="Times New Roman" w:hAnsi="Tahoma" w:cs="Tahoma"/>
          <w:color w:val="auto"/>
        </w:rPr>
        <w:t xml:space="preserve"> millones, Sector </w:t>
      </w:r>
      <w:r w:rsidR="00616820">
        <w:rPr>
          <w:rFonts w:ascii="Tahoma" w:eastAsia="Times New Roman" w:hAnsi="Tahoma" w:cs="Tahoma"/>
          <w:color w:val="auto"/>
        </w:rPr>
        <w:t>Agropecuario 1.51%, equivalentes a 81 millones, Sector Defensa 1.44%, equivalentes a 77 millones, sector Medio Ambiente con un 1.18%, equivalentes  a 64 millones y Otros Sector</w:t>
      </w:r>
      <w:r w:rsidR="00056829">
        <w:rPr>
          <w:rFonts w:ascii="Tahoma" w:eastAsia="Times New Roman" w:hAnsi="Tahoma" w:cs="Tahoma"/>
          <w:color w:val="auto"/>
        </w:rPr>
        <w:t>e</w:t>
      </w:r>
      <w:r w:rsidR="00616820">
        <w:rPr>
          <w:rFonts w:ascii="Tahoma" w:eastAsia="Times New Roman" w:hAnsi="Tahoma" w:cs="Tahoma"/>
          <w:color w:val="auto"/>
        </w:rPr>
        <w:t xml:space="preserve">s con un </w:t>
      </w:r>
      <w:r w:rsidR="00056829">
        <w:rPr>
          <w:rFonts w:ascii="Tahoma" w:eastAsia="Times New Roman" w:hAnsi="Tahoma" w:cs="Tahoma"/>
          <w:color w:val="auto"/>
        </w:rPr>
        <w:t>22.66</w:t>
      </w:r>
      <w:r w:rsidR="00616820">
        <w:rPr>
          <w:rFonts w:ascii="Tahoma" w:eastAsia="Times New Roman" w:hAnsi="Tahoma" w:cs="Tahoma"/>
          <w:color w:val="auto"/>
        </w:rPr>
        <w:t>%</w:t>
      </w:r>
      <w:r w:rsidR="00056829">
        <w:rPr>
          <w:rFonts w:ascii="Tahoma" w:eastAsia="Times New Roman" w:hAnsi="Tahoma" w:cs="Tahoma"/>
          <w:color w:val="auto"/>
        </w:rPr>
        <w:t xml:space="preserve"> 846 millones.</w:t>
      </w:r>
    </w:p>
    <w:p w:rsidR="00616820" w:rsidRDefault="00616820" w:rsidP="00771F35">
      <w:pPr>
        <w:tabs>
          <w:tab w:val="left" w:pos="1000"/>
        </w:tabs>
        <w:spacing w:before="0" w:after="0"/>
        <w:jc w:val="both"/>
        <w:rPr>
          <w:rFonts w:ascii="Tahoma" w:eastAsia="Times New Roman" w:hAnsi="Tahoma" w:cs="Tahoma"/>
          <w:color w:val="auto"/>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de </w:t>
      </w:r>
      <w:r w:rsidR="00F35776">
        <w:rPr>
          <w:rFonts w:ascii="Tahoma" w:hAnsi="Tahoma" w:cs="Tahoma"/>
          <w:szCs w:val="24"/>
        </w:rPr>
        <w:t>Casabianca</w:t>
      </w:r>
      <w:r>
        <w:rPr>
          <w:rFonts w:ascii="Tahoma" w:hAnsi="Tahoma" w:cs="Tahoma"/>
          <w:szCs w:val="24"/>
        </w:rPr>
        <w:t xml:space="preserve"> </w:t>
      </w:r>
      <w:r w:rsidR="00595DA7">
        <w:rPr>
          <w:rFonts w:ascii="Tahoma" w:hAnsi="Tahoma" w:cs="Tahoma"/>
          <w:szCs w:val="24"/>
        </w:rPr>
        <w:t>vigencia 2015, presentó Adiciones pres</w:t>
      </w:r>
      <w:r w:rsidR="00264A57">
        <w:rPr>
          <w:rFonts w:ascii="Tahoma" w:hAnsi="Tahoma" w:cs="Tahoma"/>
          <w:szCs w:val="24"/>
        </w:rPr>
        <w:t>upuestales en la suma de $</w:t>
      </w:r>
      <w:r w:rsidR="00F35776">
        <w:rPr>
          <w:rFonts w:ascii="Tahoma" w:hAnsi="Tahoma" w:cs="Tahoma"/>
          <w:szCs w:val="24"/>
        </w:rPr>
        <w:t>7.340</w:t>
      </w:r>
      <w:r w:rsidR="00264A57">
        <w:rPr>
          <w:rFonts w:ascii="Tahoma" w:hAnsi="Tahoma" w:cs="Tahoma"/>
          <w:szCs w:val="24"/>
        </w:rPr>
        <w:t xml:space="preserve"> millones</w:t>
      </w:r>
      <w:r w:rsidR="00595DA7">
        <w:rPr>
          <w:rFonts w:ascii="Tahoma" w:hAnsi="Tahoma" w:cs="Tahoma"/>
          <w:szCs w:val="24"/>
        </w:rPr>
        <w:t xml:space="preserve"> y reducciones en la suma de $</w:t>
      </w:r>
      <w:r w:rsidR="00F35776">
        <w:rPr>
          <w:rFonts w:ascii="Tahoma" w:hAnsi="Tahoma" w:cs="Tahoma"/>
          <w:szCs w:val="24"/>
        </w:rPr>
        <w:t>444</w:t>
      </w:r>
      <w:r w:rsidR="00264A57">
        <w:rPr>
          <w:rFonts w:ascii="Tahoma" w:hAnsi="Tahoma" w:cs="Tahoma"/>
          <w:szCs w:val="24"/>
        </w:rPr>
        <w:t xml:space="preserve"> millones</w:t>
      </w:r>
      <w:r w:rsidR="00E10692">
        <w:rPr>
          <w:rFonts w:ascii="Tahoma" w:hAnsi="Tahoma" w:cs="Tahoma"/>
          <w:szCs w:val="24"/>
        </w:rPr>
        <w:t xml:space="preserve"> </w:t>
      </w:r>
      <w:r w:rsidR="00E10692">
        <w:rPr>
          <w:rFonts w:ascii="Tahoma" w:hAnsi="Tahoma" w:cs="Tahoma"/>
          <w:szCs w:val="24"/>
        </w:rPr>
        <w:lastRenderedPageBreak/>
        <w:t xml:space="preserve">y </w:t>
      </w:r>
      <w:r w:rsidR="00595DA7">
        <w:rPr>
          <w:rFonts w:ascii="Tahoma" w:hAnsi="Tahoma" w:cs="Tahoma"/>
          <w:szCs w:val="24"/>
        </w:rPr>
        <w:t>traslados presupuestales en la suma de $</w:t>
      </w:r>
      <w:r w:rsidR="00F35776">
        <w:rPr>
          <w:rFonts w:ascii="Tahoma" w:hAnsi="Tahoma" w:cs="Tahoma"/>
          <w:szCs w:val="24"/>
        </w:rPr>
        <w:t>877</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F35776">
        <w:rPr>
          <w:rFonts w:ascii="Tahoma" w:hAnsi="Tahoma" w:cs="Tahoma"/>
          <w:szCs w:val="24"/>
        </w:rPr>
        <w:t>12.300</w:t>
      </w:r>
      <w:r w:rsidR="00264A57">
        <w:rPr>
          <w:rFonts w:ascii="Tahoma" w:hAnsi="Tahoma" w:cs="Tahoma"/>
          <w:szCs w:val="24"/>
        </w:rPr>
        <w:t xml:space="preserve"> millones.</w:t>
      </w:r>
    </w:p>
    <w:p w:rsidR="00264A57" w:rsidRDefault="00264A57" w:rsidP="00595DA7">
      <w:pPr>
        <w:tabs>
          <w:tab w:val="left" w:pos="5696"/>
        </w:tabs>
        <w:spacing w:before="0" w:after="0"/>
        <w:jc w:val="both"/>
        <w:rPr>
          <w:rFonts w:ascii="Tahoma" w:hAnsi="Tahoma" w:cs="Tahoma"/>
          <w:szCs w:val="24"/>
        </w:rPr>
      </w:pPr>
    </w:p>
    <w:p w:rsidR="00E324E3" w:rsidRDefault="00EF51FE" w:rsidP="00595DA7">
      <w:pPr>
        <w:tabs>
          <w:tab w:val="left" w:pos="5696"/>
        </w:tabs>
        <w:spacing w:before="0" w:after="0"/>
        <w:jc w:val="both"/>
        <w:rPr>
          <w:rFonts w:ascii="Tahoma" w:hAnsi="Tahoma" w:cs="Tahoma"/>
          <w:szCs w:val="24"/>
        </w:rPr>
      </w:pPr>
      <w:r>
        <w:rPr>
          <w:rFonts w:ascii="Tahoma" w:hAnsi="Tahoma" w:cs="Tahoma"/>
          <w:szCs w:val="24"/>
        </w:rPr>
        <w:t xml:space="preserve"> </w:t>
      </w: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63CFD">
        <w:rPr>
          <w:rFonts w:ascii="Tahoma" w:hAnsi="Tahoma" w:cs="Tahoma"/>
          <w:b/>
          <w:szCs w:val="24"/>
        </w:rPr>
        <w:t xml:space="preserve"> E INVERSION</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t xml:space="preserve">Los Gastos de funcionamiento se incrementaron en un </w:t>
      </w:r>
      <w:r w:rsidR="00326DC2">
        <w:rPr>
          <w:rFonts w:ascii="Tahoma" w:hAnsi="Tahoma" w:cs="Tahoma"/>
          <w:szCs w:val="24"/>
        </w:rPr>
        <w:t>72.50</w:t>
      </w:r>
      <w:r>
        <w:rPr>
          <w:rFonts w:ascii="Tahoma" w:hAnsi="Tahoma" w:cs="Tahoma"/>
          <w:szCs w:val="24"/>
        </w:rPr>
        <w:t>%, es decir la suma de $</w:t>
      </w:r>
      <w:r w:rsidR="00B77436">
        <w:rPr>
          <w:rFonts w:ascii="Tahoma" w:hAnsi="Tahoma" w:cs="Tahoma"/>
          <w:szCs w:val="24"/>
        </w:rPr>
        <w:t>4</w:t>
      </w:r>
      <w:r w:rsidR="00326DC2">
        <w:rPr>
          <w:rFonts w:ascii="Tahoma" w:hAnsi="Tahoma" w:cs="Tahoma"/>
          <w:szCs w:val="24"/>
        </w:rPr>
        <w:t>46</w:t>
      </w:r>
      <w:r w:rsidR="00264A57">
        <w:rPr>
          <w:rFonts w:ascii="Tahoma" w:hAnsi="Tahoma" w:cs="Tahoma"/>
          <w:szCs w:val="24"/>
        </w:rPr>
        <w:t xml:space="preserve"> millones</w:t>
      </w:r>
      <w:r>
        <w:rPr>
          <w:rFonts w:ascii="Tahoma" w:hAnsi="Tahoma" w:cs="Tahoma"/>
          <w:szCs w:val="24"/>
        </w:rPr>
        <w:t xml:space="preserve"> y los gastos de Inversión en un </w:t>
      </w:r>
      <w:r w:rsidR="00326DC2">
        <w:rPr>
          <w:rFonts w:ascii="Tahoma" w:hAnsi="Tahoma" w:cs="Tahoma"/>
          <w:szCs w:val="24"/>
        </w:rPr>
        <w:t>144.0</w:t>
      </w:r>
      <w:r w:rsidR="00B77436">
        <w:rPr>
          <w:rFonts w:ascii="Tahoma" w:hAnsi="Tahoma" w:cs="Tahoma"/>
          <w:szCs w:val="24"/>
        </w:rPr>
        <w:t>7</w:t>
      </w:r>
      <w:r>
        <w:rPr>
          <w:rFonts w:ascii="Tahoma" w:hAnsi="Tahoma" w:cs="Tahoma"/>
          <w:szCs w:val="24"/>
        </w:rPr>
        <w:t>%, equivalentes a $</w:t>
      </w:r>
      <w:r w:rsidR="00326DC2">
        <w:rPr>
          <w:rFonts w:ascii="Tahoma" w:hAnsi="Tahoma" w:cs="Tahoma"/>
          <w:szCs w:val="24"/>
        </w:rPr>
        <w:t>6.899</w:t>
      </w:r>
      <w:r w:rsidR="00264A57">
        <w:rPr>
          <w:rFonts w:ascii="Tahoma" w:hAnsi="Tahoma" w:cs="Tahoma"/>
          <w:szCs w:val="24"/>
        </w:rPr>
        <w:t xml:space="preserve"> 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E324E3" w:rsidRDefault="00326DC2" w:rsidP="00595DA7">
      <w:pPr>
        <w:tabs>
          <w:tab w:val="left" w:pos="5696"/>
        </w:tabs>
        <w:spacing w:before="0" w:after="0"/>
        <w:jc w:val="both"/>
        <w:rPr>
          <w:rFonts w:ascii="Tahoma" w:hAnsi="Tahoma" w:cs="Tahoma"/>
          <w:szCs w:val="24"/>
        </w:rPr>
      </w:pPr>
      <w:r w:rsidRPr="00326DC2">
        <w:rPr>
          <w:noProof/>
        </w:rPr>
        <w:drawing>
          <wp:inline distT="0" distB="0" distL="0" distR="0" wp14:anchorId="1DE1C4A1" wp14:editId="79410989">
            <wp:extent cx="5615999" cy="1245600"/>
            <wp:effectExtent l="0" t="0" r="381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12130" cy="1244742"/>
                    </a:xfrm>
                    <a:prstGeom prst="rect">
                      <a:avLst/>
                    </a:prstGeom>
                  </pic:spPr>
                </pic:pic>
              </a:graphicData>
            </a:graphic>
          </wp:inline>
        </w:drawing>
      </w:r>
    </w:p>
    <w:p w:rsidR="008C2EA2" w:rsidRDefault="008C2EA2" w:rsidP="00595DA7">
      <w:pPr>
        <w:tabs>
          <w:tab w:val="left" w:pos="5696"/>
        </w:tabs>
        <w:spacing w:before="0" w:after="0"/>
        <w:jc w:val="both"/>
        <w:rPr>
          <w:rFonts w:ascii="Tahoma" w:hAnsi="Tahoma" w:cs="Tahoma"/>
          <w:szCs w:val="24"/>
        </w:rPr>
      </w:pPr>
    </w:p>
    <w:p w:rsidR="008C2EA2" w:rsidRDefault="008C2EA2" w:rsidP="00595DA7">
      <w:pPr>
        <w:tabs>
          <w:tab w:val="left" w:pos="5696"/>
        </w:tabs>
        <w:spacing w:before="0" w:after="0"/>
        <w:jc w:val="both"/>
        <w:rPr>
          <w:rFonts w:ascii="Tahoma" w:hAnsi="Tahoma" w:cs="Tahoma"/>
          <w:szCs w:val="24"/>
        </w:rPr>
      </w:pPr>
    </w:p>
    <w:p w:rsidR="008C2EA2" w:rsidRDefault="005D7F5A" w:rsidP="00264A57">
      <w:pPr>
        <w:tabs>
          <w:tab w:val="left" w:pos="5696"/>
        </w:tabs>
        <w:spacing w:before="0" w:after="0"/>
        <w:jc w:val="center"/>
        <w:rPr>
          <w:rFonts w:ascii="Tahoma" w:hAnsi="Tahoma" w:cs="Tahoma"/>
          <w:szCs w:val="24"/>
        </w:rPr>
      </w:pPr>
      <w:r>
        <w:rPr>
          <w:noProof/>
        </w:rPr>
        <w:drawing>
          <wp:inline distT="0" distB="0" distL="0" distR="0" wp14:anchorId="50AB3DD8" wp14:editId="7A11FA2C">
            <wp:extent cx="4572001" cy="2743200"/>
            <wp:effectExtent l="0" t="0" r="19050" b="1905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82549" w:rsidRDefault="00982549" w:rsidP="00595DA7">
      <w:pPr>
        <w:tabs>
          <w:tab w:val="left" w:pos="5696"/>
        </w:tabs>
        <w:spacing w:before="0" w:after="0"/>
        <w:jc w:val="both"/>
        <w:rPr>
          <w:rFonts w:ascii="Tahoma" w:hAnsi="Tahoma" w:cs="Tahoma"/>
          <w:szCs w:val="24"/>
        </w:rPr>
      </w:pPr>
    </w:p>
    <w:p w:rsidR="00231ECA" w:rsidRDefault="00231ECA" w:rsidP="001D6862">
      <w:pPr>
        <w:spacing w:before="0" w:after="0"/>
        <w:jc w:val="both"/>
        <w:rPr>
          <w:rFonts w:ascii="Tahoma" w:hAnsi="Tahoma" w:cs="Tahoma"/>
          <w:b/>
          <w:color w:val="auto"/>
          <w:szCs w:val="16"/>
        </w:rPr>
      </w:pPr>
    </w:p>
    <w:p w:rsidR="005D7F5A" w:rsidRDefault="005D7F5A" w:rsidP="001D6862">
      <w:pPr>
        <w:spacing w:before="0" w:after="0"/>
        <w:jc w:val="both"/>
        <w:rPr>
          <w:rFonts w:ascii="Tahoma" w:hAnsi="Tahoma" w:cs="Tahoma"/>
          <w:b/>
          <w:color w:val="auto"/>
          <w:szCs w:val="16"/>
        </w:rPr>
      </w:pPr>
    </w:p>
    <w:p w:rsidR="005D7F5A" w:rsidRDefault="005D7F5A" w:rsidP="001D6862">
      <w:pPr>
        <w:spacing w:before="0" w:after="0"/>
        <w:jc w:val="both"/>
        <w:rPr>
          <w:rFonts w:ascii="Tahoma" w:hAnsi="Tahoma" w:cs="Tahoma"/>
          <w:b/>
          <w:color w:val="auto"/>
          <w:szCs w:val="16"/>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lastRenderedPageBreak/>
        <w:t>MODIFICACIONES GASTOS DE INVERSION</w:t>
      </w:r>
    </w:p>
    <w:p w:rsidR="00577624" w:rsidRDefault="00577624" w:rsidP="001D6862">
      <w:pPr>
        <w:spacing w:before="0" w:after="0"/>
        <w:jc w:val="both"/>
        <w:rPr>
          <w:rFonts w:ascii="Tahoma" w:hAnsi="Tahoma" w:cs="Tahoma"/>
          <w:color w:val="auto"/>
          <w:szCs w:val="16"/>
        </w:rPr>
      </w:pPr>
    </w:p>
    <w:p w:rsidR="00865411"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w:t>
      </w:r>
      <w:r w:rsidR="005D7F5A">
        <w:rPr>
          <w:rFonts w:ascii="Tahoma" w:hAnsi="Tahoma" w:cs="Tahoma"/>
          <w:color w:val="auto"/>
          <w:szCs w:val="16"/>
        </w:rPr>
        <w:t xml:space="preserve">más </w:t>
      </w:r>
      <w:r w:rsidR="00BA3E16">
        <w:rPr>
          <w:rFonts w:ascii="Tahoma" w:hAnsi="Tahoma" w:cs="Tahoma"/>
          <w:color w:val="auto"/>
          <w:szCs w:val="16"/>
        </w:rPr>
        <w:t>modificaciones</w:t>
      </w:r>
      <w:r w:rsidR="005D7F5A">
        <w:rPr>
          <w:rFonts w:ascii="Tahoma" w:hAnsi="Tahoma" w:cs="Tahoma"/>
          <w:color w:val="auto"/>
          <w:szCs w:val="16"/>
        </w:rPr>
        <w:t xml:space="preserve"> presentaron</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Pr>
          <w:rFonts w:ascii="Tahoma" w:hAnsi="Tahoma" w:cs="Tahoma"/>
          <w:color w:val="auto"/>
          <w:szCs w:val="16"/>
        </w:rPr>
        <w:t xml:space="preserve">: </w:t>
      </w:r>
      <w:r w:rsidR="0016790A">
        <w:rPr>
          <w:rFonts w:ascii="Tahoma" w:hAnsi="Tahoma" w:cs="Tahoma"/>
          <w:color w:val="auto"/>
          <w:szCs w:val="16"/>
        </w:rPr>
        <w:t xml:space="preserve">Sector </w:t>
      </w:r>
      <w:r w:rsidR="00C15A80">
        <w:rPr>
          <w:rFonts w:ascii="Tahoma" w:hAnsi="Tahoma" w:cs="Tahoma"/>
          <w:color w:val="auto"/>
          <w:szCs w:val="16"/>
        </w:rPr>
        <w:t>Defensa</w:t>
      </w:r>
      <w:r w:rsidR="0016790A">
        <w:rPr>
          <w:rFonts w:ascii="Tahoma" w:hAnsi="Tahoma" w:cs="Tahoma"/>
          <w:color w:val="auto"/>
          <w:szCs w:val="16"/>
        </w:rPr>
        <w:t xml:space="preserve"> $</w:t>
      </w:r>
      <w:r w:rsidR="00C15A80">
        <w:rPr>
          <w:rFonts w:ascii="Tahoma" w:hAnsi="Tahoma" w:cs="Tahoma"/>
          <w:color w:val="auto"/>
          <w:szCs w:val="16"/>
        </w:rPr>
        <w:t>3.294 millones</w:t>
      </w:r>
      <w:r w:rsidR="0016790A">
        <w:rPr>
          <w:rFonts w:ascii="Tahoma" w:hAnsi="Tahoma" w:cs="Tahoma"/>
          <w:color w:val="auto"/>
          <w:szCs w:val="16"/>
        </w:rPr>
        <w:t xml:space="preserve">, </w:t>
      </w:r>
      <w:r>
        <w:rPr>
          <w:rFonts w:ascii="Tahoma" w:hAnsi="Tahoma" w:cs="Tahoma"/>
          <w:color w:val="auto"/>
          <w:szCs w:val="16"/>
        </w:rPr>
        <w:t>Sector</w:t>
      </w:r>
      <w:r w:rsidR="00C15A80">
        <w:rPr>
          <w:rFonts w:ascii="Tahoma" w:hAnsi="Tahoma" w:cs="Tahoma"/>
          <w:color w:val="auto"/>
          <w:szCs w:val="16"/>
        </w:rPr>
        <w:t xml:space="preserve"> Salud $745 millones, Transporte 944 millones, Educación $2.298 </w:t>
      </w:r>
      <w:r w:rsidR="00264A57">
        <w:rPr>
          <w:rFonts w:ascii="Tahoma" w:hAnsi="Tahoma" w:cs="Tahoma"/>
          <w:color w:val="auto"/>
          <w:szCs w:val="16"/>
        </w:rPr>
        <w:t>millones</w:t>
      </w:r>
      <w:r w:rsidR="003B6AFE">
        <w:rPr>
          <w:rFonts w:ascii="Tahoma" w:hAnsi="Tahoma" w:cs="Tahoma"/>
          <w:color w:val="auto"/>
          <w:szCs w:val="16"/>
        </w:rPr>
        <w:t>,</w:t>
      </w:r>
      <w:r w:rsidR="00C15A80">
        <w:rPr>
          <w:rFonts w:ascii="Tahoma" w:hAnsi="Tahoma" w:cs="Tahoma"/>
          <w:color w:val="auto"/>
          <w:szCs w:val="16"/>
        </w:rPr>
        <w:t xml:space="preserve"> Gobierno 146 millones y Vivienda 250 millones.</w:t>
      </w:r>
    </w:p>
    <w:p w:rsidR="00C15A80" w:rsidRDefault="00C15A80" w:rsidP="001D6862">
      <w:pPr>
        <w:spacing w:before="0" w:after="0"/>
        <w:jc w:val="both"/>
        <w:rPr>
          <w:rFonts w:ascii="Tahoma" w:hAnsi="Tahoma" w:cs="Tahoma"/>
          <w:color w:val="auto"/>
          <w:szCs w:val="16"/>
        </w:rPr>
      </w:pPr>
    </w:p>
    <w:p w:rsidR="000367BB" w:rsidRDefault="00C15A80" w:rsidP="0003642F">
      <w:pPr>
        <w:spacing w:before="0" w:after="0"/>
        <w:jc w:val="center"/>
        <w:rPr>
          <w:rFonts w:ascii="Tahoma" w:hAnsi="Tahoma" w:cs="Tahoma"/>
          <w:color w:val="auto"/>
          <w:szCs w:val="16"/>
        </w:rPr>
      </w:pPr>
      <w:r>
        <w:rPr>
          <w:noProof/>
        </w:rPr>
        <w:drawing>
          <wp:inline distT="0" distB="0" distL="0" distR="0" wp14:anchorId="4BAC7440" wp14:editId="0E2DEEDC">
            <wp:extent cx="4572000" cy="2743200"/>
            <wp:effectExtent l="0" t="0" r="19050" b="1905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367BB" w:rsidRDefault="000367BB" w:rsidP="00A44621">
      <w:pPr>
        <w:spacing w:before="0" w:after="0"/>
        <w:jc w:val="center"/>
        <w:rPr>
          <w:rFonts w:ascii="Tahoma" w:hAnsi="Tahoma" w:cs="Tahoma"/>
          <w:color w:val="auto"/>
          <w:szCs w:val="16"/>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C15A80">
        <w:rPr>
          <w:rFonts w:ascii="Tahoma" w:hAnsi="Tahoma" w:cs="Tahoma"/>
          <w:color w:val="auto"/>
        </w:rPr>
        <w:t>Casabianca</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C15A80">
        <w:rPr>
          <w:rFonts w:ascii="Tahoma" w:hAnsi="Tahoma" w:cs="Tahoma"/>
          <w:color w:val="auto"/>
        </w:rPr>
        <w:t>11.358</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9A5D7C">
        <w:rPr>
          <w:rFonts w:ascii="Tahoma" w:hAnsi="Tahoma" w:cs="Tahoma"/>
          <w:bCs/>
          <w:color w:val="auto"/>
        </w:rPr>
        <w:t>885</w:t>
      </w:r>
      <w:r w:rsidR="00264A57">
        <w:rPr>
          <w:rFonts w:ascii="Tahoma" w:hAnsi="Tahoma" w:cs="Tahoma"/>
          <w:bCs/>
          <w:color w:val="auto"/>
        </w:rPr>
        <w:t xml:space="preserve"> millones</w:t>
      </w:r>
      <w:r w:rsidRPr="00B65E8C">
        <w:rPr>
          <w:rFonts w:ascii="Tahoma" w:hAnsi="Tahoma" w:cs="Tahoma"/>
          <w:bCs/>
          <w:color w:val="auto"/>
        </w:rPr>
        <w:t xml:space="preserve"> equivalentes al </w:t>
      </w:r>
      <w:r w:rsidR="009A5D7C">
        <w:rPr>
          <w:rFonts w:ascii="Tahoma" w:hAnsi="Tahoma" w:cs="Tahoma"/>
          <w:bCs/>
          <w:color w:val="auto"/>
        </w:rPr>
        <w:t>7.80%</w:t>
      </w:r>
      <w:r w:rsidRPr="00B65E8C">
        <w:rPr>
          <w:rFonts w:ascii="Tahoma" w:hAnsi="Tahoma" w:cs="Tahoma"/>
          <w:bCs/>
          <w:color w:val="auto"/>
        </w:rPr>
        <w:t xml:space="preserve"> e Inversión </w:t>
      </w:r>
      <w:r w:rsidR="009C7A81">
        <w:rPr>
          <w:rFonts w:ascii="Tahoma" w:hAnsi="Tahoma" w:cs="Tahoma"/>
          <w:bCs/>
          <w:color w:val="auto"/>
        </w:rPr>
        <w:t xml:space="preserve">en la suma </w:t>
      </w:r>
      <w:r w:rsidRPr="00B65E8C">
        <w:rPr>
          <w:rFonts w:ascii="Tahoma" w:hAnsi="Tahoma" w:cs="Tahoma"/>
          <w:bCs/>
          <w:color w:val="auto"/>
        </w:rPr>
        <w:t>de $</w:t>
      </w:r>
      <w:r w:rsidR="009A5D7C">
        <w:rPr>
          <w:rFonts w:ascii="Tahoma" w:hAnsi="Tahoma" w:cs="Tahoma"/>
          <w:bCs/>
          <w:color w:val="auto"/>
        </w:rPr>
        <w:t>10.472</w:t>
      </w:r>
      <w:r w:rsidR="00264A57">
        <w:rPr>
          <w:rFonts w:ascii="Tahoma" w:hAnsi="Tahoma" w:cs="Tahoma"/>
          <w:bCs/>
          <w:color w:val="auto"/>
        </w:rPr>
        <w:t xml:space="preserve"> millones</w:t>
      </w:r>
      <w:r w:rsidR="006E5817">
        <w:rPr>
          <w:rFonts w:ascii="Tahoma" w:hAnsi="Tahoma" w:cs="Tahoma"/>
          <w:bCs/>
          <w:color w:val="auto"/>
        </w:rPr>
        <w:t xml:space="preserve"> equivalentes al </w:t>
      </w:r>
      <w:r w:rsidR="009A5D7C">
        <w:rPr>
          <w:rFonts w:ascii="Tahoma" w:hAnsi="Tahoma" w:cs="Tahoma"/>
          <w:bCs/>
          <w:color w:val="auto"/>
        </w:rPr>
        <w:t>92.20</w:t>
      </w:r>
      <w:r w:rsidR="00C01693">
        <w:rPr>
          <w:rFonts w:ascii="Tahoma" w:hAnsi="Tahoma" w:cs="Tahoma"/>
          <w:bCs/>
          <w:color w:val="auto"/>
        </w:rPr>
        <w:t xml:space="preserve">%.  </w:t>
      </w:r>
    </w:p>
    <w:p w:rsidR="00C01693" w:rsidRPr="00565F73" w:rsidRDefault="00C01693" w:rsidP="00C01693">
      <w:pPr>
        <w:spacing w:before="0" w:after="0"/>
        <w:jc w:val="both"/>
        <w:rPr>
          <w:rFonts w:ascii="Tahoma" w:hAnsi="Tahoma" w:cs="Tahoma"/>
          <w:bCs/>
          <w:color w:val="auto"/>
          <w:sz w:val="14"/>
        </w:rPr>
      </w:pPr>
    </w:p>
    <w:p w:rsidR="00001B0E" w:rsidRDefault="00524E1D" w:rsidP="001D6862">
      <w:pPr>
        <w:spacing w:before="0" w:after="0"/>
        <w:jc w:val="both"/>
        <w:rPr>
          <w:rFonts w:ascii="Tahoma" w:hAnsi="Tahoma" w:cs="Tahoma"/>
          <w:color w:val="auto"/>
        </w:rPr>
      </w:pPr>
      <w:r w:rsidRPr="00B65E8C">
        <w:rPr>
          <w:rFonts w:ascii="Tahoma" w:hAnsi="Tahoma" w:cs="Tahoma"/>
          <w:color w:val="auto"/>
        </w:rPr>
        <w:t xml:space="preserve">De los </w:t>
      </w:r>
      <w:r w:rsidR="006C7116">
        <w:rPr>
          <w:rFonts w:ascii="Tahoma" w:hAnsi="Tahoma" w:cs="Tahoma"/>
          <w:color w:val="auto"/>
        </w:rPr>
        <w:t>Gastos de F</w:t>
      </w:r>
      <w:r w:rsidRPr="00B65E8C">
        <w:rPr>
          <w:rFonts w:ascii="Tahoma" w:hAnsi="Tahoma" w:cs="Tahoma"/>
          <w:color w:val="auto"/>
        </w:rPr>
        <w:t xml:space="preserve">uncionamiento se </w:t>
      </w:r>
      <w:r w:rsidR="00C01693">
        <w:rPr>
          <w:rFonts w:ascii="Tahoma" w:hAnsi="Tahoma" w:cs="Tahoma"/>
          <w:color w:val="auto"/>
        </w:rPr>
        <w:t xml:space="preserve">observó que </w:t>
      </w:r>
      <w:r w:rsidR="006C7116">
        <w:rPr>
          <w:rFonts w:ascii="Tahoma" w:hAnsi="Tahoma" w:cs="Tahoma"/>
          <w:color w:val="auto"/>
        </w:rPr>
        <w:t xml:space="preserve">el total comprometido fue  del </w:t>
      </w:r>
      <w:r w:rsidR="00944AFA">
        <w:rPr>
          <w:rFonts w:ascii="Tahoma" w:hAnsi="Tahoma" w:cs="Tahoma"/>
          <w:color w:val="auto"/>
        </w:rPr>
        <w:t>8</w:t>
      </w:r>
      <w:r w:rsidR="00B944CF">
        <w:rPr>
          <w:rFonts w:ascii="Tahoma" w:hAnsi="Tahoma" w:cs="Tahoma"/>
          <w:color w:val="auto"/>
        </w:rPr>
        <w:t>5.90</w:t>
      </w:r>
      <w:r w:rsidR="006C7116">
        <w:rPr>
          <w:rFonts w:ascii="Tahoma" w:hAnsi="Tahoma" w:cs="Tahoma"/>
          <w:color w:val="auto"/>
        </w:rPr>
        <w:t xml:space="preserve">%,  </w:t>
      </w:r>
      <w:r w:rsidR="00C01693">
        <w:rPr>
          <w:rFonts w:ascii="Tahoma" w:hAnsi="Tahoma" w:cs="Tahoma"/>
          <w:color w:val="auto"/>
        </w:rPr>
        <w:t>los compromisos mayores se presentaron en</w:t>
      </w:r>
      <w:r w:rsidR="00001B0E">
        <w:rPr>
          <w:rFonts w:ascii="Tahoma" w:hAnsi="Tahoma" w:cs="Tahoma"/>
          <w:color w:val="auto"/>
        </w:rPr>
        <w:t xml:space="preserve"> los Gastos de Personal $</w:t>
      </w:r>
      <w:r w:rsidR="00953158">
        <w:rPr>
          <w:rFonts w:ascii="Tahoma" w:hAnsi="Tahoma" w:cs="Tahoma"/>
          <w:color w:val="auto"/>
        </w:rPr>
        <w:t>4</w:t>
      </w:r>
      <w:r w:rsidR="00507C8D">
        <w:rPr>
          <w:rFonts w:ascii="Tahoma" w:hAnsi="Tahoma" w:cs="Tahoma"/>
          <w:color w:val="auto"/>
        </w:rPr>
        <w:t>5</w:t>
      </w:r>
      <w:r w:rsidR="00953158">
        <w:rPr>
          <w:rFonts w:ascii="Tahoma" w:hAnsi="Tahoma" w:cs="Tahoma"/>
          <w:color w:val="auto"/>
        </w:rPr>
        <w:t>2</w:t>
      </w:r>
      <w:r w:rsidR="00264A57">
        <w:rPr>
          <w:rFonts w:ascii="Tahoma" w:hAnsi="Tahoma" w:cs="Tahoma"/>
          <w:color w:val="auto"/>
        </w:rPr>
        <w:t xml:space="preserve"> millones</w:t>
      </w:r>
      <w:r w:rsidR="00001B0E">
        <w:rPr>
          <w:rFonts w:ascii="Tahoma" w:hAnsi="Tahoma" w:cs="Tahoma"/>
          <w:color w:val="auto"/>
        </w:rPr>
        <w:t>,  seguidos de</w:t>
      </w:r>
      <w:r w:rsidR="00C01693">
        <w:rPr>
          <w:rFonts w:ascii="Tahoma" w:hAnsi="Tahoma" w:cs="Tahoma"/>
          <w:color w:val="auto"/>
        </w:rPr>
        <w:t xml:space="preserve"> Gastos</w:t>
      </w:r>
      <w:r w:rsidR="00001B0E">
        <w:rPr>
          <w:rFonts w:ascii="Tahoma" w:hAnsi="Tahoma" w:cs="Tahoma"/>
          <w:color w:val="auto"/>
        </w:rPr>
        <w:t xml:space="preserve"> Generales </w:t>
      </w:r>
      <w:r w:rsidR="006C7116">
        <w:rPr>
          <w:rFonts w:ascii="Tahoma" w:hAnsi="Tahoma" w:cs="Tahoma"/>
          <w:color w:val="auto"/>
        </w:rPr>
        <w:t>en</w:t>
      </w:r>
      <w:r w:rsidR="00C01693">
        <w:rPr>
          <w:rFonts w:ascii="Tahoma" w:hAnsi="Tahoma" w:cs="Tahoma"/>
          <w:color w:val="auto"/>
        </w:rPr>
        <w:t xml:space="preserve"> $</w:t>
      </w:r>
      <w:r w:rsidR="00953158">
        <w:rPr>
          <w:rFonts w:ascii="Tahoma" w:hAnsi="Tahoma" w:cs="Tahoma"/>
          <w:color w:val="auto"/>
        </w:rPr>
        <w:t>145</w:t>
      </w:r>
      <w:r w:rsidR="00264A57">
        <w:rPr>
          <w:rFonts w:ascii="Tahoma" w:hAnsi="Tahoma" w:cs="Tahoma"/>
          <w:color w:val="auto"/>
        </w:rPr>
        <w:t xml:space="preserve"> millones</w:t>
      </w:r>
      <w:r w:rsidR="00001B0E">
        <w:rPr>
          <w:rFonts w:ascii="Tahoma" w:hAnsi="Tahoma" w:cs="Tahoma"/>
          <w:color w:val="auto"/>
        </w:rPr>
        <w:t xml:space="preserve"> y las Transferencias</w:t>
      </w:r>
      <w:r w:rsidR="006C7116">
        <w:rPr>
          <w:rFonts w:ascii="Tahoma" w:hAnsi="Tahoma" w:cs="Tahoma"/>
          <w:color w:val="auto"/>
        </w:rPr>
        <w:t xml:space="preserve"> por $</w:t>
      </w:r>
      <w:r w:rsidR="00953158">
        <w:rPr>
          <w:rFonts w:ascii="Tahoma" w:hAnsi="Tahoma" w:cs="Tahoma"/>
          <w:color w:val="auto"/>
        </w:rPr>
        <w:t>87</w:t>
      </w:r>
      <w:r w:rsidR="00264A57">
        <w:rPr>
          <w:rFonts w:ascii="Tahoma" w:hAnsi="Tahoma" w:cs="Tahoma"/>
          <w:color w:val="auto"/>
        </w:rPr>
        <w:t xml:space="preserve"> millones</w:t>
      </w:r>
      <w:r w:rsidR="00001B0E">
        <w:rPr>
          <w:rFonts w:ascii="Tahoma" w:hAnsi="Tahoma" w:cs="Tahoma"/>
          <w:color w:val="auto"/>
        </w:rPr>
        <w:t>.</w:t>
      </w:r>
    </w:p>
    <w:p w:rsidR="00C01693" w:rsidRDefault="00001B0E" w:rsidP="001D6862">
      <w:pPr>
        <w:spacing w:before="0" w:after="0"/>
        <w:jc w:val="both"/>
        <w:rPr>
          <w:rFonts w:ascii="Tahoma" w:hAnsi="Tahoma" w:cs="Tahoma"/>
          <w:color w:val="auto"/>
        </w:rPr>
      </w:pPr>
      <w:r>
        <w:rPr>
          <w:rFonts w:ascii="Tahoma" w:hAnsi="Tahoma" w:cs="Tahoma"/>
          <w:color w:val="auto"/>
        </w:rPr>
        <w:t xml:space="preserve"> </w:t>
      </w:r>
    </w:p>
    <w:p w:rsidR="00285A8B" w:rsidRDefault="003B030A" w:rsidP="001D6862">
      <w:pPr>
        <w:spacing w:before="0" w:after="0"/>
        <w:jc w:val="both"/>
        <w:rPr>
          <w:rFonts w:ascii="Tahoma" w:hAnsi="Tahoma" w:cs="Tahoma"/>
          <w:b/>
          <w:bCs/>
          <w:color w:val="auto"/>
        </w:rPr>
      </w:pPr>
      <w:r>
        <w:rPr>
          <w:rFonts w:ascii="Tahoma" w:hAnsi="Tahoma" w:cs="Tahoma"/>
          <w:color w:val="auto"/>
        </w:rPr>
        <w:t>De l</w:t>
      </w:r>
      <w:r w:rsidR="006C7116">
        <w:rPr>
          <w:rFonts w:ascii="Tahoma" w:hAnsi="Tahoma" w:cs="Tahoma"/>
          <w:color w:val="auto"/>
        </w:rPr>
        <w:t>os Gastos de I</w:t>
      </w:r>
      <w:r w:rsidR="00524E1D" w:rsidRPr="009C7C0D">
        <w:rPr>
          <w:rFonts w:ascii="Tahoma" w:hAnsi="Tahoma" w:cs="Tahoma"/>
          <w:color w:val="auto"/>
        </w:rPr>
        <w:t>nversión</w:t>
      </w:r>
      <w:r>
        <w:rPr>
          <w:rFonts w:ascii="Tahoma" w:hAnsi="Tahoma" w:cs="Tahoma"/>
          <w:color w:val="auto"/>
        </w:rPr>
        <w:t xml:space="preserve"> se observó que</w:t>
      </w:r>
      <w:r w:rsidR="006C7116">
        <w:rPr>
          <w:rFonts w:ascii="Tahoma" w:hAnsi="Tahoma" w:cs="Tahoma"/>
          <w:color w:val="auto"/>
        </w:rPr>
        <w:t xml:space="preserve"> el total comprometido fue del</w:t>
      </w:r>
      <w:r w:rsidR="00482348">
        <w:rPr>
          <w:rFonts w:ascii="Tahoma" w:hAnsi="Tahoma" w:cs="Tahoma"/>
          <w:color w:val="auto"/>
        </w:rPr>
        <w:t xml:space="preserve"> </w:t>
      </w:r>
      <w:r w:rsidR="00B36589">
        <w:rPr>
          <w:rFonts w:ascii="Tahoma" w:hAnsi="Tahoma" w:cs="Tahoma"/>
          <w:color w:val="auto"/>
        </w:rPr>
        <w:t>92.93</w:t>
      </w:r>
      <w:r w:rsidR="00482348">
        <w:rPr>
          <w:rFonts w:ascii="Tahoma" w:hAnsi="Tahoma" w:cs="Tahoma"/>
          <w:color w:val="auto"/>
        </w:rPr>
        <w:t>%</w:t>
      </w:r>
      <w:r w:rsidR="00524E1D" w:rsidRPr="009C7C0D">
        <w:rPr>
          <w:rFonts w:ascii="Tahoma" w:hAnsi="Tahoma" w:cs="Tahoma"/>
          <w:color w:val="auto"/>
        </w:rPr>
        <w:t xml:space="preserve">, </w:t>
      </w:r>
      <w:r w:rsidR="003D4B2C">
        <w:rPr>
          <w:rFonts w:ascii="Tahoma" w:hAnsi="Tahoma" w:cs="Tahoma"/>
          <w:color w:val="auto"/>
        </w:rPr>
        <w:t xml:space="preserve">la mayor inversión se realizó en el sector </w:t>
      </w:r>
      <w:r w:rsidR="00B36589">
        <w:rPr>
          <w:rFonts w:ascii="Tahoma" w:hAnsi="Tahoma" w:cs="Tahoma"/>
          <w:color w:val="auto"/>
        </w:rPr>
        <w:t xml:space="preserve">Salud </w:t>
      </w:r>
      <w:r w:rsidR="00FA47DA">
        <w:rPr>
          <w:rFonts w:ascii="Tahoma" w:hAnsi="Tahoma" w:cs="Tahoma"/>
          <w:color w:val="auto"/>
        </w:rPr>
        <w:t>con</w:t>
      </w:r>
      <w:r w:rsidR="00075575">
        <w:rPr>
          <w:rFonts w:ascii="Tahoma" w:hAnsi="Tahoma" w:cs="Tahoma"/>
          <w:color w:val="auto"/>
        </w:rPr>
        <w:t xml:space="preserve"> la suma de </w:t>
      </w:r>
      <w:r w:rsidR="00264A57">
        <w:rPr>
          <w:rFonts w:ascii="Tahoma" w:hAnsi="Tahoma" w:cs="Tahoma"/>
          <w:color w:val="auto"/>
        </w:rPr>
        <w:t>$</w:t>
      </w:r>
      <w:r w:rsidR="00B36589">
        <w:rPr>
          <w:rFonts w:ascii="Tahoma" w:hAnsi="Tahoma" w:cs="Tahoma"/>
          <w:color w:val="auto"/>
        </w:rPr>
        <w:t>3.361</w:t>
      </w:r>
      <w:r w:rsidR="00264A57">
        <w:rPr>
          <w:rFonts w:ascii="Tahoma" w:hAnsi="Tahoma" w:cs="Tahoma"/>
          <w:color w:val="auto"/>
        </w:rPr>
        <w:t xml:space="preserve"> millones</w:t>
      </w:r>
      <w:r w:rsidR="003D4B2C" w:rsidRPr="00264A57">
        <w:rPr>
          <w:rFonts w:ascii="Tahoma" w:hAnsi="Tahoma" w:cs="Tahoma"/>
          <w:color w:val="auto"/>
        </w:rPr>
        <w:t>, seguida de</w:t>
      </w:r>
      <w:r w:rsidR="003D4B2C">
        <w:rPr>
          <w:rFonts w:ascii="Tahoma" w:hAnsi="Tahoma" w:cs="Tahoma"/>
          <w:color w:val="auto"/>
        </w:rPr>
        <w:t xml:space="preserve">  </w:t>
      </w:r>
      <w:r w:rsidR="00B36589">
        <w:rPr>
          <w:rFonts w:ascii="Tahoma" w:hAnsi="Tahoma" w:cs="Tahoma"/>
          <w:color w:val="auto"/>
        </w:rPr>
        <w:t xml:space="preserve">Educación </w:t>
      </w:r>
      <w:r w:rsidR="005B4AEC">
        <w:rPr>
          <w:rFonts w:ascii="Tahoma" w:hAnsi="Tahoma" w:cs="Tahoma"/>
          <w:color w:val="auto"/>
        </w:rPr>
        <w:t>$</w:t>
      </w:r>
      <w:r w:rsidR="00B36589">
        <w:rPr>
          <w:rFonts w:ascii="Tahoma" w:hAnsi="Tahoma" w:cs="Tahoma"/>
          <w:color w:val="auto"/>
        </w:rPr>
        <w:t>2.712</w:t>
      </w:r>
      <w:r w:rsidR="005B4AEC">
        <w:rPr>
          <w:rFonts w:ascii="Tahoma" w:hAnsi="Tahoma" w:cs="Tahoma"/>
          <w:color w:val="auto"/>
        </w:rPr>
        <w:t xml:space="preserve"> millones, </w:t>
      </w:r>
      <w:r w:rsidR="00B36589">
        <w:rPr>
          <w:rFonts w:ascii="Tahoma" w:hAnsi="Tahoma" w:cs="Tahoma"/>
          <w:color w:val="auto"/>
        </w:rPr>
        <w:t xml:space="preserve">Sector Deporte $1.068 millones, Sector Transporte </w:t>
      </w:r>
      <w:r w:rsidR="005B4AEC">
        <w:rPr>
          <w:rFonts w:ascii="Tahoma" w:hAnsi="Tahoma" w:cs="Tahoma"/>
          <w:color w:val="auto"/>
        </w:rPr>
        <w:t>$</w:t>
      </w:r>
      <w:r w:rsidR="00B36589">
        <w:rPr>
          <w:rFonts w:ascii="Tahoma" w:hAnsi="Tahoma" w:cs="Tahoma"/>
          <w:color w:val="auto"/>
        </w:rPr>
        <w:t>816</w:t>
      </w:r>
      <w:r w:rsidR="005B4AEC">
        <w:rPr>
          <w:rFonts w:ascii="Tahoma" w:hAnsi="Tahoma" w:cs="Tahoma"/>
          <w:color w:val="auto"/>
        </w:rPr>
        <w:t xml:space="preserve"> millones, </w:t>
      </w:r>
      <w:r w:rsidR="00B36589">
        <w:rPr>
          <w:rFonts w:ascii="Tahoma" w:hAnsi="Tahoma" w:cs="Tahoma"/>
          <w:color w:val="auto"/>
        </w:rPr>
        <w:t>y</w:t>
      </w:r>
      <w:r w:rsidR="00FA47DA">
        <w:rPr>
          <w:rFonts w:ascii="Tahoma" w:hAnsi="Tahoma" w:cs="Tahoma"/>
          <w:color w:val="auto"/>
        </w:rPr>
        <w:t xml:space="preserve"> Saneamiento Básico con $</w:t>
      </w:r>
      <w:r w:rsidR="00B36589">
        <w:rPr>
          <w:rFonts w:ascii="Tahoma" w:hAnsi="Tahoma" w:cs="Tahoma"/>
          <w:color w:val="auto"/>
        </w:rPr>
        <w:t>392</w:t>
      </w:r>
      <w:r w:rsidR="00264A57">
        <w:rPr>
          <w:rFonts w:ascii="Tahoma" w:hAnsi="Tahoma" w:cs="Tahoma"/>
          <w:color w:val="auto"/>
        </w:rPr>
        <w:t xml:space="preserve"> millones</w:t>
      </w:r>
      <w:r w:rsidR="00B36589">
        <w:rPr>
          <w:rFonts w:ascii="Tahoma" w:hAnsi="Tahoma" w:cs="Tahoma"/>
          <w:color w:val="auto"/>
        </w:rPr>
        <w:t>.</w:t>
      </w:r>
      <w:r w:rsidR="00B36589">
        <w:rPr>
          <w:rFonts w:ascii="Tahoma" w:hAnsi="Tahoma" w:cs="Tahoma"/>
          <w:b/>
          <w:bCs/>
          <w:color w:val="auto"/>
        </w:rPr>
        <w:t xml:space="preserve"> </w:t>
      </w:r>
    </w:p>
    <w:p w:rsidR="00285A8B" w:rsidRDefault="00285A8B" w:rsidP="001D6862">
      <w:pPr>
        <w:spacing w:before="0" w:after="0"/>
        <w:jc w:val="both"/>
        <w:rPr>
          <w:rFonts w:ascii="Tahoma" w:hAnsi="Tahoma" w:cs="Tahoma"/>
          <w:b/>
          <w:bCs/>
          <w:color w:val="auto"/>
        </w:rPr>
      </w:pPr>
    </w:p>
    <w:p w:rsidR="00285A8B" w:rsidRDefault="00285A8B" w:rsidP="001D6862">
      <w:pPr>
        <w:spacing w:before="0" w:after="0"/>
        <w:jc w:val="both"/>
        <w:rPr>
          <w:rFonts w:ascii="Tahoma" w:hAnsi="Tahoma" w:cs="Tahoma"/>
          <w:b/>
          <w:bCs/>
          <w:color w:val="auto"/>
        </w:rPr>
      </w:pPr>
    </w:p>
    <w:p w:rsidR="00040B1A" w:rsidRPr="00E71D96" w:rsidRDefault="00454315" w:rsidP="001D6862">
      <w:pPr>
        <w:spacing w:before="0" w:after="0"/>
        <w:jc w:val="both"/>
        <w:rPr>
          <w:rFonts w:ascii="Tahoma" w:hAnsi="Tahoma" w:cs="Tahoma"/>
          <w:b/>
          <w:bCs/>
          <w:color w:val="auto"/>
        </w:rPr>
      </w:pPr>
      <w:r w:rsidRPr="00E71D96">
        <w:rPr>
          <w:rFonts w:ascii="Tahoma" w:hAnsi="Tahoma" w:cs="Tahoma"/>
          <w:b/>
          <w:bCs/>
          <w:color w:val="auto"/>
        </w:rPr>
        <w:lastRenderedPageBreak/>
        <w:t xml:space="preserve">COMPARATIVO DE </w:t>
      </w:r>
      <w:r w:rsidR="00926286">
        <w:rPr>
          <w:rFonts w:ascii="Tahoma" w:hAnsi="Tahoma" w:cs="Tahoma"/>
          <w:b/>
          <w:bCs/>
          <w:color w:val="auto"/>
        </w:rPr>
        <w:t>G</w:t>
      </w:r>
      <w:r w:rsidR="00F5220F">
        <w:rPr>
          <w:rFonts w:ascii="Tahoma" w:hAnsi="Tahoma" w:cs="Tahoma"/>
          <w:b/>
          <w:bCs/>
          <w:color w:val="auto"/>
        </w:rPr>
        <w:t>A</w:t>
      </w:r>
      <w:r w:rsidR="00926286">
        <w:rPr>
          <w:rFonts w:ascii="Tahoma" w:hAnsi="Tahoma" w:cs="Tahoma"/>
          <w:b/>
          <w:bCs/>
          <w:color w:val="auto"/>
        </w:rPr>
        <w:t>STOS COMPROMETIDOS</w:t>
      </w:r>
      <w:r w:rsidRPr="00E71D96">
        <w:rPr>
          <w:rFonts w:ascii="Tahoma" w:hAnsi="Tahoma" w:cs="Tahoma"/>
          <w:b/>
          <w:bCs/>
          <w:color w:val="auto"/>
        </w:rPr>
        <w:t xml:space="preserve"> 2014 – 2015</w:t>
      </w:r>
    </w:p>
    <w:p w:rsidR="00454315" w:rsidRDefault="00454315" w:rsidP="001D6862">
      <w:pPr>
        <w:spacing w:before="0" w:after="0"/>
        <w:jc w:val="both"/>
        <w:rPr>
          <w:rFonts w:ascii="Tahoma" w:hAnsi="Tahoma" w:cs="Tahoma"/>
          <w:bCs/>
          <w:color w:val="auto"/>
        </w:rPr>
      </w:pPr>
    </w:p>
    <w:p w:rsidR="00DC2BBC" w:rsidRDefault="00D76FA2" w:rsidP="00DC2BBC">
      <w:pPr>
        <w:spacing w:before="0" w:after="0"/>
        <w:jc w:val="both"/>
        <w:rPr>
          <w:rFonts w:ascii="Tahoma" w:hAnsi="Tahoma" w:cs="Tahoma"/>
          <w:bCs/>
          <w:color w:val="auto"/>
        </w:rPr>
      </w:pPr>
      <w:r>
        <w:rPr>
          <w:rFonts w:ascii="Tahoma" w:hAnsi="Tahoma" w:cs="Tahoma"/>
          <w:bCs/>
          <w:color w:val="auto"/>
        </w:rPr>
        <w:t xml:space="preserve">De lo anterior se pudo observar que </w:t>
      </w:r>
      <w:r w:rsidR="009C3E29">
        <w:rPr>
          <w:rFonts w:ascii="Tahoma" w:hAnsi="Tahoma" w:cs="Tahoma"/>
          <w:bCs/>
          <w:color w:val="auto"/>
        </w:rPr>
        <w:t xml:space="preserve">el presupuesto total comprometido </w:t>
      </w:r>
      <w:r w:rsidR="007E35B4">
        <w:rPr>
          <w:rFonts w:ascii="Tahoma" w:hAnsi="Tahoma" w:cs="Tahoma"/>
          <w:bCs/>
          <w:color w:val="auto"/>
        </w:rPr>
        <w:t>de la vigencia 2015</w:t>
      </w:r>
      <w:r w:rsidR="009C3E29">
        <w:rPr>
          <w:rFonts w:ascii="Tahoma" w:hAnsi="Tahoma" w:cs="Tahoma"/>
          <w:bCs/>
          <w:color w:val="auto"/>
        </w:rPr>
        <w:t xml:space="preserve">, fue </w:t>
      </w:r>
      <w:r w:rsidR="00D1102A">
        <w:rPr>
          <w:rFonts w:ascii="Tahoma" w:hAnsi="Tahoma" w:cs="Tahoma"/>
          <w:bCs/>
          <w:color w:val="auto"/>
        </w:rPr>
        <w:t>supe</w:t>
      </w:r>
      <w:r w:rsidR="009C3E29">
        <w:rPr>
          <w:rFonts w:ascii="Tahoma" w:hAnsi="Tahoma" w:cs="Tahoma"/>
          <w:bCs/>
          <w:color w:val="auto"/>
        </w:rPr>
        <w:t xml:space="preserve">rior al de la vigencia 2014, </w:t>
      </w:r>
      <w:r w:rsidR="00E15E67">
        <w:rPr>
          <w:rFonts w:ascii="Tahoma" w:hAnsi="Tahoma" w:cs="Tahoma"/>
          <w:bCs/>
          <w:color w:val="auto"/>
        </w:rPr>
        <w:t xml:space="preserve"> tuvo un</w:t>
      </w:r>
      <w:r w:rsidR="00D1102A">
        <w:rPr>
          <w:rFonts w:ascii="Tahoma" w:hAnsi="Tahoma" w:cs="Tahoma"/>
          <w:bCs/>
          <w:color w:val="auto"/>
        </w:rPr>
        <w:t xml:space="preserve"> incremento</w:t>
      </w:r>
      <w:r w:rsidR="009C3E29">
        <w:rPr>
          <w:rFonts w:ascii="Tahoma" w:hAnsi="Tahoma" w:cs="Tahoma"/>
          <w:bCs/>
          <w:color w:val="auto"/>
        </w:rPr>
        <w:t xml:space="preserve"> </w:t>
      </w:r>
      <w:r w:rsidR="00E15E67">
        <w:rPr>
          <w:rFonts w:ascii="Tahoma" w:hAnsi="Tahoma" w:cs="Tahoma"/>
          <w:bCs/>
          <w:color w:val="auto"/>
        </w:rPr>
        <w:t xml:space="preserve">del </w:t>
      </w:r>
      <w:r w:rsidR="00D1102A">
        <w:rPr>
          <w:rFonts w:ascii="Tahoma" w:hAnsi="Tahoma" w:cs="Tahoma"/>
          <w:bCs/>
          <w:color w:val="auto"/>
        </w:rPr>
        <w:t>46.52</w:t>
      </w:r>
      <w:r w:rsidR="009B4265">
        <w:rPr>
          <w:rFonts w:ascii="Tahoma" w:hAnsi="Tahoma" w:cs="Tahoma"/>
          <w:bCs/>
          <w:color w:val="auto"/>
        </w:rPr>
        <w:t>%</w:t>
      </w:r>
      <w:r w:rsidR="00DC2BBC">
        <w:rPr>
          <w:rFonts w:ascii="Tahoma" w:hAnsi="Tahoma" w:cs="Tahoma"/>
          <w:bCs/>
          <w:color w:val="auto"/>
        </w:rPr>
        <w:t xml:space="preserve">, </w:t>
      </w:r>
      <w:r w:rsidR="009C3E29">
        <w:rPr>
          <w:rFonts w:ascii="Tahoma" w:hAnsi="Tahoma" w:cs="Tahoma"/>
          <w:bCs/>
          <w:color w:val="auto"/>
        </w:rPr>
        <w:t xml:space="preserve"> donde los </w:t>
      </w:r>
      <w:r w:rsidR="00DC2BBC">
        <w:rPr>
          <w:rFonts w:ascii="Tahoma" w:hAnsi="Tahoma" w:cs="Tahoma"/>
          <w:bCs/>
          <w:color w:val="auto"/>
        </w:rPr>
        <w:t>gastos de personal aumentaron 0.18%, Gastos generales 0.37%, Transferencias Corrientes 0.32%, al igual que lo gastos de inversión aumentaron un 0.49%.</w:t>
      </w:r>
    </w:p>
    <w:p w:rsidR="00DC2BBC" w:rsidRDefault="00DC2BBC" w:rsidP="00DC2BBC">
      <w:pPr>
        <w:spacing w:before="0" w:after="0"/>
        <w:jc w:val="both"/>
        <w:rPr>
          <w:rFonts w:ascii="Tahoma" w:hAnsi="Tahoma" w:cs="Tahoma"/>
          <w:bCs/>
          <w:color w:val="auto"/>
        </w:rPr>
      </w:pPr>
    </w:p>
    <w:p w:rsidR="00D95BCE" w:rsidRPr="00741448" w:rsidRDefault="00D1102A" w:rsidP="001D6862">
      <w:pPr>
        <w:spacing w:before="0" w:after="0"/>
        <w:jc w:val="center"/>
        <w:rPr>
          <w:rFonts w:ascii="Tahoma" w:hAnsi="Tahoma" w:cs="Tahoma"/>
          <w:b/>
        </w:rPr>
      </w:pPr>
      <w:r w:rsidRPr="00D1102A">
        <w:rPr>
          <w:noProof/>
        </w:rPr>
        <w:drawing>
          <wp:inline distT="0" distB="0" distL="0" distR="0" wp14:anchorId="1E67444B" wp14:editId="7AB3B654">
            <wp:extent cx="5612130" cy="1559560"/>
            <wp:effectExtent l="0" t="0" r="7620" b="254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12130" cy="1559560"/>
                    </a:xfrm>
                    <a:prstGeom prst="rect">
                      <a:avLst/>
                    </a:prstGeom>
                  </pic:spPr>
                </pic:pic>
              </a:graphicData>
            </a:graphic>
          </wp:inline>
        </w:drawing>
      </w:r>
    </w:p>
    <w:p w:rsidR="00D1102A" w:rsidRDefault="00D1102A" w:rsidP="001D6862">
      <w:pPr>
        <w:spacing w:before="0" w:after="0"/>
        <w:jc w:val="center"/>
        <w:rPr>
          <w:rFonts w:ascii="Tahoma" w:hAnsi="Tahoma" w:cs="Tahoma"/>
          <w:b/>
        </w:rPr>
      </w:pPr>
    </w:p>
    <w:p w:rsidR="000161B9" w:rsidRDefault="000161B9" w:rsidP="001D6862">
      <w:pPr>
        <w:spacing w:before="0" w:after="0"/>
        <w:jc w:val="center"/>
        <w:rPr>
          <w:rFonts w:ascii="Tahoma" w:hAnsi="Tahoma" w:cs="Tahoma"/>
          <w:b/>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E56795" w:rsidRDefault="00E56795" w:rsidP="001D6862">
      <w:pPr>
        <w:spacing w:before="0" w:after="0"/>
        <w:jc w:val="both"/>
        <w:rPr>
          <w:rFonts w:ascii="Tahoma" w:hAnsi="Tahoma" w:cs="Tahoma"/>
          <w:b/>
        </w:rPr>
      </w:pP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C46A08" w:rsidRDefault="00C46A08" w:rsidP="001D6862">
      <w:pPr>
        <w:spacing w:before="0" w:after="0"/>
        <w:jc w:val="both"/>
        <w:rPr>
          <w:rFonts w:ascii="Tahoma" w:hAnsi="Tahoma" w:cs="Tahoma"/>
          <w:b/>
        </w:rPr>
      </w:pPr>
    </w:p>
    <w:p w:rsidR="00EE23CA" w:rsidRDefault="00EE23CA" w:rsidP="00E56795">
      <w:pPr>
        <w:spacing w:before="0" w:after="0"/>
        <w:jc w:val="both"/>
      </w:pPr>
    </w:p>
    <w:p w:rsidR="007C4647" w:rsidRDefault="00B24EC6" w:rsidP="00F04E5D">
      <w:pPr>
        <w:spacing w:before="0" w:after="0"/>
        <w:jc w:val="both"/>
      </w:pPr>
      <w:r>
        <w:t xml:space="preserve">El Municipio de </w:t>
      </w:r>
      <w:r w:rsidR="00DC2BBC">
        <w:t>Casabianca</w:t>
      </w:r>
      <w:r w:rsidR="00C47D9E">
        <w:t xml:space="preserve"> está clasificado en Sexta (6) categoría y  el límite de los gastos de funcionamiento como proporción de sus ingresos corrientes de libre destinación es hasta un 80%, donde los  Gastos de funcionamiento no podrán superar el límite como </w:t>
      </w:r>
    </w:p>
    <w:p w:rsidR="00E56795" w:rsidRPr="00741448" w:rsidRDefault="00F04E5D" w:rsidP="00F04E5D">
      <w:pPr>
        <w:spacing w:before="0" w:after="0"/>
        <w:jc w:val="both"/>
      </w:pPr>
      <w:r>
        <w:t>Proporción</w:t>
      </w:r>
      <w:r w:rsidR="00C47D9E">
        <w:t xml:space="preserve"> a sus ingresos corrientes de libre destinación</w:t>
      </w:r>
      <w:r w:rsidR="00E56795">
        <w:t xml:space="preserve"> </w:t>
      </w:r>
      <w:r w:rsidR="00E56795" w:rsidRPr="00741448">
        <w:t xml:space="preserve">según lo establecido en la Ley 617 de 2000.  </w:t>
      </w:r>
    </w:p>
    <w:p w:rsidR="00E56795" w:rsidRDefault="00E56795" w:rsidP="00E56795">
      <w:pPr>
        <w:spacing w:before="0" w:after="0"/>
        <w:jc w:val="both"/>
      </w:pP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741448" w:rsidRDefault="00741448" w:rsidP="00741448">
      <w:pPr>
        <w:pStyle w:val="NormalWeb"/>
        <w:spacing w:before="0" w:beforeAutospacing="0" w:after="0" w:afterAutospacing="0"/>
        <w:rPr>
          <w:rFonts w:ascii="Tahoma" w:hAnsi="Tahoma" w:cs="Tahoma"/>
          <w:b/>
          <w:sz w:val="22"/>
          <w:szCs w:val="22"/>
        </w:rPr>
      </w:pPr>
    </w:p>
    <w:p w:rsidR="00EE23CA" w:rsidRDefault="00EE23CA" w:rsidP="00741448">
      <w:pPr>
        <w:pStyle w:val="NormalWeb"/>
        <w:spacing w:before="0" w:beforeAutospacing="0" w:after="0" w:afterAutospacing="0"/>
        <w:rPr>
          <w:rFonts w:ascii="Tahoma" w:hAnsi="Tahoma" w:cs="Tahoma"/>
          <w:b/>
          <w:sz w:val="22"/>
          <w:szCs w:val="22"/>
        </w:rPr>
      </w:pP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Gastos de Funcionamiento / Ingresos Corriente Libre Destinación </w:t>
      </w:r>
    </w:p>
    <w:p w:rsidR="00C47D9E" w:rsidRDefault="00C47D9E" w:rsidP="00741448">
      <w:pPr>
        <w:pStyle w:val="NormalWeb"/>
        <w:spacing w:before="0" w:beforeAutospacing="0" w:after="0" w:afterAutospacing="0"/>
        <w:rPr>
          <w:rFonts w:ascii="Tahoma" w:hAnsi="Tahoma" w:cs="Tahoma"/>
          <w:b/>
          <w:sz w:val="22"/>
          <w:szCs w:val="22"/>
        </w:rPr>
      </w:pPr>
    </w:p>
    <w:p w:rsidR="00C47D9E" w:rsidRDefault="00C47D9E"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1A5A87" w:rsidRDefault="001A5A87" w:rsidP="00741448">
      <w:pPr>
        <w:pStyle w:val="NormalWeb"/>
        <w:spacing w:before="0" w:beforeAutospacing="0" w:after="0" w:afterAutospacing="0"/>
      </w:pPr>
    </w:p>
    <w:p w:rsidR="00231ECA" w:rsidRDefault="00231ECA" w:rsidP="00741448">
      <w:pPr>
        <w:pStyle w:val="NormalWeb"/>
        <w:spacing w:before="0" w:beforeAutospacing="0" w:after="0" w:afterAutospacing="0"/>
      </w:pPr>
    </w:p>
    <w:p w:rsidR="00DC2BBC" w:rsidRPr="00DC2BBC" w:rsidRDefault="00DC2BBC" w:rsidP="00DC2BBC">
      <w:pPr>
        <w:shd w:val="clear" w:color="auto" w:fill="EAF5FF"/>
        <w:spacing w:before="0" w:after="0"/>
        <w:jc w:val="center"/>
        <w:rPr>
          <w:rFonts w:eastAsia="Times New Roman"/>
          <w:sz w:val="20"/>
          <w:szCs w:val="20"/>
        </w:rPr>
      </w:pPr>
      <w:r w:rsidRPr="00DC2BBC">
        <w:rPr>
          <w:rFonts w:eastAsia="Times New Roman"/>
          <w:b/>
          <w:bCs/>
          <w:sz w:val="20"/>
          <w:szCs w:val="20"/>
        </w:rPr>
        <w:lastRenderedPageBreak/>
        <w:t>CONTRALORÍA GENERAL DE LA REPÚBLICA</w:t>
      </w:r>
    </w:p>
    <w:p w:rsidR="00DC2BBC" w:rsidRPr="00DC2BBC" w:rsidRDefault="00DC2BBC" w:rsidP="00DC2BBC">
      <w:pPr>
        <w:shd w:val="clear" w:color="auto" w:fill="EAF5FF"/>
        <w:spacing w:before="0" w:after="0"/>
        <w:jc w:val="center"/>
        <w:rPr>
          <w:rFonts w:eastAsia="Times New Roman"/>
          <w:sz w:val="20"/>
          <w:szCs w:val="20"/>
        </w:rPr>
      </w:pPr>
      <w:r w:rsidRPr="00DC2BBC">
        <w:rPr>
          <w:rFonts w:eastAsia="Times New Roman"/>
          <w:b/>
          <w:bCs/>
          <w:sz w:val="20"/>
          <w:szCs w:val="20"/>
        </w:rPr>
        <w:t>CONTRALORÍA DELEGADA PARA ECONOMÍA Y FINANZAS PÚBLICAS</w:t>
      </w:r>
    </w:p>
    <w:p w:rsidR="00DC2BBC" w:rsidRPr="00DC2BBC" w:rsidRDefault="00DC2BBC" w:rsidP="00DC2BBC">
      <w:pPr>
        <w:shd w:val="clear" w:color="auto" w:fill="EAF5FF"/>
        <w:spacing w:before="0" w:after="0"/>
        <w:jc w:val="center"/>
        <w:rPr>
          <w:rFonts w:eastAsia="Times New Roman"/>
          <w:sz w:val="20"/>
          <w:szCs w:val="20"/>
        </w:rPr>
      </w:pPr>
      <w:r w:rsidRPr="00DC2BBC">
        <w:rPr>
          <w:rFonts w:eastAsia="Times New Roman"/>
          <w:b/>
          <w:bCs/>
          <w:sz w:val="20"/>
          <w:szCs w:val="20"/>
        </w:rPr>
        <w:t>DIRECCIÓN DE CUENTAS Y ESTADÍSTICAS FISCALES</w:t>
      </w:r>
    </w:p>
    <w:p w:rsidR="00DC2BBC" w:rsidRPr="00DC2BBC" w:rsidRDefault="00DE4DEF" w:rsidP="00DC2BBC">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p w:rsidR="00DC2BBC" w:rsidRPr="00DC2BBC" w:rsidRDefault="00DC2BBC" w:rsidP="00DC2BBC">
      <w:pPr>
        <w:shd w:val="clear" w:color="auto" w:fill="EAF5FF"/>
        <w:spacing w:before="0" w:after="0"/>
        <w:jc w:val="center"/>
        <w:rPr>
          <w:rFonts w:eastAsia="Times New Roman"/>
          <w:sz w:val="20"/>
          <w:szCs w:val="20"/>
        </w:rPr>
      </w:pPr>
      <w:r w:rsidRPr="00DC2BBC">
        <w:rPr>
          <w:rFonts w:eastAsia="Times New Roman"/>
          <w:b/>
          <w:bCs/>
          <w:sz w:val="20"/>
          <w:szCs w:val="20"/>
        </w:rPr>
        <w:t>CONSULTA DATOS CERTIFICACIÓN LEY 617/00</w:t>
      </w:r>
    </w:p>
    <w:tbl>
      <w:tblPr>
        <w:tblW w:w="8536"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DC2BBC" w:rsidRPr="00DC2BBC" w:rsidTr="00DC2BBC">
        <w:trPr>
          <w:tblCellSpacing w:w="15" w:type="dxa"/>
          <w:jc w:val="center"/>
        </w:trPr>
        <w:tc>
          <w:tcPr>
            <w:tcW w:w="0" w:type="auto"/>
            <w:shd w:val="clear" w:color="auto" w:fill="EAF5FF"/>
            <w:vAlign w:val="center"/>
            <w:hideMark/>
          </w:tcPr>
          <w:p w:rsidR="00DC2BBC" w:rsidRPr="00DC2BBC" w:rsidRDefault="00DC2BBC" w:rsidP="00DC2BBC">
            <w:pPr>
              <w:spacing w:before="0" w:after="0"/>
              <w:rPr>
                <w:rFonts w:eastAsia="Times New Roman"/>
                <w:color w:val="auto"/>
                <w:sz w:val="18"/>
                <w:szCs w:val="18"/>
              </w:rPr>
            </w:pPr>
          </w:p>
        </w:tc>
      </w:tr>
      <w:tr w:rsidR="00DC2BBC" w:rsidRPr="00DC2BBC" w:rsidTr="00DC2BBC">
        <w:trPr>
          <w:tblCellSpacing w:w="15" w:type="dxa"/>
          <w:jc w:val="center"/>
        </w:trPr>
        <w:tc>
          <w:tcPr>
            <w:tcW w:w="0" w:type="auto"/>
            <w:shd w:val="clear" w:color="auto" w:fill="EAF5FF"/>
            <w:vAlign w:val="center"/>
            <w:hideMark/>
          </w:tcPr>
          <w:p w:rsidR="00DC2BBC" w:rsidRPr="00DC2BBC" w:rsidRDefault="00DC2BBC" w:rsidP="00DC2BBC">
            <w:pPr>
              <w:spacing w:before="0" w:after="0"/>
              <w:rPr>
                <w:rFonts w:eastAsia="Times New Roman"/>
                <w:color w:val="auto"/>
                <w:sz w:val="18"/>
                <w:szCs w:val="18"/>
              </w:rPr>
            </w:pPr>
          </w:p>
        </w:tc>
      </w:tr>
      <w:tr w:rsidR="00DC2BBC" w:rsidRPr="00DC2BBC" w:rsidTr="00DC2BBC">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2397"/>
              <w:gridCol w:w="6003"/>
            </w:tblGrid>
            <w:tr w:rsidR="00DC2BBC" w:rsidRPr="00DC2BB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TOLIMA</w:t>
                  </w:r>
                </w:p>
              </w:tc>
            </w:tr>
            <w:tr w:rsidR="00DC2BBC" w:rsidRPr="00DC2BB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215273152 - CASABIANCA</w:t>
                  </w:r>
                </w:p>
              </w:tc>
            </w:tr>
            <w:tr w:rsidR="00DC2BBC" w:rsidRPr="00DC2BB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2015</w:t>
                  </w:r>
                </w:p>
              </w:tc>
            </w:tr>
            <w:tr w:rsidR="00DC2BBC" w:rsidRPr="00DC2BB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Sexta</w:t>
                  </w:r>
                </w:p>
              </w:tc>
            </w:tr>
            <w:tr w:rsidR="00DC2BBC" w:rsidRPr="00DC2BB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80%</w:t>
                  </w:r>
                </w:p>
              </w:tc>
            </w:tr>
            <w:tr w:rsidR="00DC2BBC" w:rsidRPr="00DC2BBC">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DC2BBC" w:rsidRPr="00DC2BBC" w:rsidRDefault="00DC2BBC" w:rsidP="00DC2BBC">
                  <w:pPr>
                    <w:spacing w:before="0" w:after="0"/>
                    <w:rPr>
                      <w:rFonts w:eastAsia="Times New Roman"/>
                      <w:color w:val="auto"/>
                      <w:sz w:val="18"/>
                      <w:szCs w:val="18"/>
                    </w:rPr>
                  </w:pPr>
                  <w:r w:rsidRPr="00DC2BBC">
                    <w:rPr>
                      <w:rFonts w:eastAsia="Times New Roman"/>
                      <w:color w:val="auto"/>
                      <w:sz w:val="18"/>
                      <w:szCs w:val="18"/>
                    </w:rPr>
                    <w:t>Por deficiencia en la CALIDAD de la información de esta Entidad, no procede la CERTIFICACIÓN.</w:t>
                  </w:r>
                </w:p>
              </w:tc>
            </w:tr>
          </w:tbl>
          <w:p w:rsidR="00DC2BBC" w:rsidRPr="00DC2BBC" w:rsidRDefault="00DC2BBC" w:rsidP="00DC2BBC">
            <w:pPr>
              <w:spacing w:before="0" w:after="0"/>
              <w:jc w:val="center"/>
              <w:rPr>
                <w:rFonts w:eastAsia="Times New Roman"/>
                <w:color w:val="auto"/>
                <w:sz w:val="18"/>
                <w:szCs w:val="18"/>
              </w:rPr>
            </w:pPr>
          </w:p>
        </w:tc>
      </w:tr>
      <w:tr w:rsidR="00DC2BBC" w:rsidRPr="00DC2BBC" w:rsidTr="00DC2BBC">
        <w:trPr>
          <w:tblCellSpacing w:w="15" w:type="dxa"/>
          <w:jc w:val="center"/>
        </w:trPr>
        <w:tc>
          <w:tcPr>
            <w:tcW w:w="0" w:type="auto"/>
            <w:shd w:val="clear" w:color="auto" w:fill="EAF5FF"/>
            <w:vAlign w:val="center"/>
            <w:hideMark/>
          </w:tcPr>
          <w:p w:rsidR="00DC2BBC" w:rsidRPr="00DC2BBC" w:rsidRDefault="00DC2BBC" w:rsidP="00DC2BBC">
            <w:pPr>
              <w:spacing w:before="0" w:after="0"/>
              <w:jc w:val="center"/>
              <w:rPr>
                <w:rFonts w:eastAsia="Times New Roman"/>
                <w:color w:val="auto"/>
                <w:sz w:val="20"/>
                <w:szCs w:val="20"/>
              </w:rPr>
            </w:pPr>
          </w:p>
        </w:tc>
      </w:tr>
    </w:tbl>
    <w:p w:rsidR="004F34B7" w:rsidRDefault="004F34B7" w:rsidP="00AC2164">
      <w:pPr>
        <w:spacing w:before="0" w:after="0"/>
        <w:rPr>
          <w:rFonts w:eastAsia="Times New Roman"/>
          <w:color w:val="auto"/>
          <w:sz w:val="18"/>
          <w:szCs w:val="18"/>
        </w:rPr>
      </w:pPr>
    </w:p>
    <w:p w:rsidR="005F5D93"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4F34B7" w:rsidRPr="00AC2164" w:rsidRDefault="004F34B7" w:rsidP="00AC2164">
      <w:pPr>
        <w:spacing w:before="0" w:after="0"/>
        <w:rPr>
          <w:rFonts w:eastAsia="Times New Roman"/>
          <w:color w:val="auto"/>
          <w:sz w:val="18"/>
          <w:szCs w:val="18"/>
        </w:rPr>
      </w:pPr>
    </w:p>
    <w:p w:rsidR="00B867BE" w:rsidRDefault="00B867BE" w:rsidP="00AC2164">
      <w:pPr>
        <w:pStyle w:val="Ttulo2"/>
        <w:jc w:val="both"/>
        <w:rPr>
          <w:rFonts w:ascii="Tahoma" w:hAnsi="Tahoma" w:cs="Tahoma"/>
          <w:b w:val="0"/>
          <w:sz w:val="22"/>
          <w:lang w:val="es-CO"/>
        </w:rPr>
      </w:pPr>
      <w:r>
        <w:rPr>
          <w:rFonts w:ascii="Tahoma" w:hAnsi="Tahoma" w:cs="Tahoma"/>
          <w:b w:val="0"/>
          <w:sz w:val="22"/>
          <w:lang w:val="es-CO"/>
        </w:rPr>
        <w:t>El Municipio de Casabianca no fue certificado por la Contraloría General de la República, por deficiencias de la información.  Es de anotar que la información reportada a través de la Plataforma Chip, difiere a la información que reposa en el Ente Territorial.</w:t>
      </w:r>
    </w:p>
    <w:p w:rsidR="00EB7EE1" w:rsidRDefault="00EB7EE1" w:rsidP="00AC2164">
      <w:pPr>
        <w:pStyle w:val="Ttulo2"/>
        <w:jc w:val="both"/>
        <w:rPr>
          <w:rFonts w:ascii="Tahoma" w:hAnsi="Tahoma" w:cs="Tahoma"/>
          <w:b w:val="0"/>
          <w:sz w:val="22"/>
          <w:lang w:val="es-CO"/>
        </w:rPr>
      </w:pPr>
    </w:p>
    <w:p w:rsidR="005F5D93" w:rsidRDefault="00AC2164" w:rsidP="00AC2164">
      <w:pPr>
        <w:pStyle w:val="Ttulo2"/>
        <w:jc w:val="both"/>
        <w:rPr>
          <w:rFonts w:ascii="Tahoma" w:hAnsi="Tahoma" w:cs="Tahoma"/>
          <w:b w:val="0"/>
          <w:sz w:val="22"/>
          <w:lang w:val="es-CO"/>
        </w:rPr>
      </w:pPr>
      <w:r>
        <w:rPr>
          <w:rFonts w:ascii="Tahoma" w:hAnsi="Tahoma" w:cs="Tahoma"/>
          <w:b w:val="0"/>
          <w:sz w:val="22"/>
          <w:lang w:val="es-CO"/>
        </w:rPr>
        <w:t xml:space="preserve">Teniendo en cuenta la certificación de Ingresos corrientes de Libre Destinación expedida por </w:t>
      </w:r>
      <w:r w:rsidR="00B867BE">
        <w:rPr>
          <w:rFonts w:ascii="Tahoma" w:hAnsi="Tahoma" w:cs="Tahoma"/>
          <w:b w:val="0"/>
          <w:sz w:val="22"/>
          <w:lang w:val="es-CO"/>
        </w:rPr>
        <w:t xml:space="preserve">el Alcalde Municipal de la vigencia 2015 </w:t>
      </w:r>
      <w:r w:rsidR="005F4A02">
        <w:rPr>
          <w:rFonts w:ascii="Tahoma" w:hAnsi="Tahoma" w:cs="Tahoma"/>
          <w:b w:val="0"/>
          <w:sz w:val="22"/>
          <w:lang w:val="es-CO"/>
        </w:rPr>
        <w:t>y</w:t>
      </w:r>
      <w:r w:rsidR="002206E8">
        <w:rPr>
          <w:rFonts w:ascii="Tahoma" w:hAnsi="Tahoma" w:cs="Tahoma"/>
          <w:b w:val="0"/>
          <w:sz w:val="22"/>
          <w:lang w:val="es-CO"/>
        </w:rPr>
        <w:t xml:space="preserve"> la Ejecución presupuestal de Ingresos y Gastos</w:t>
      </w:r>
      <w:r w:rsidR="005F4A02">
        <w:rPr>
          <w:rFonts w:ascii="Tahoma" w:hAnsi="Tahoma" w:cs="Tahoma"/>
          <w:b w:val="0"/>
          <w:sz w:val="22"/>
          <w:lang w:val="es-CO"/>
        </w:rPr>
        <w:t>,</w:t>
      </w:r>
      <w:r>
        <w:rPr>
          <w:rFonts w:ascii="Tahoma" w:hAnsi="Tahoma" w:cs="Tahoma"/>
          <w:b w:val="0"/>
          <w:sz w:val="22"/>
          <w:lang w:val="es-CO"/>
        </w:rPr>
        <w:t xml:space="preserve"> se </w:t>
      </w:r>
      <w:r w:rsidR="004B7B3F">
        <w:rPr>
          <w:rFonts w:ascii="Tahoma" w:hAnsi="Tahoma" w:cs="Tahoma"/>
          <w:b w:val="0"/>
          <w:sz w:val="22"/>
          <w:lang w:val="es-CO"/>
        </w:rPr>
        <w:t>evidenci</w:t>
      </w:r>
      <w:r>
        <w:rPr>
          <w:rFonts w:ascii="Tahoma" w:hAnsi="Tahoma" w:cs="Tahoma"/>
          <w:b w:val="0"/>
          <w:sz w:val="22"/>
          <w:lang w:val="es-CO"/>
        </w:rPr>
        <w:t xml:space="preserve">ó que el Municipio de </w:t>
      </w:r>
      <w:r w:rsidR="00B867BE">
        <w:rPr>
          <w:rFonts w:ascii="Tahoma" w:hAnsi="Tahoma" w:cs="Tahoma"/>
          <w:b w:val="0"/>
          <w:sz w:val="22"/>
          <w:lang w:val="es-CO"/>
        </w:rPr>
        <w:t>Casabianca</w:t>
      </w:r>
      <w:r>
        <w:rPr>
          <w:rFonts w:ascii="Tahoma" w:hAnsi="Tahoma" w:cs="Tahoma"/>
          <w:b w:val="0"/>
          <w:sz w:val="22"/>
          <w:lang w:val="es-CO"/>
        </w:rPr>
        <w:t xml:space="preserve">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w:t>
      </w:r>
      <w:r w:rsidR="00C12F15">
        <w:rPr>
          <w:rFonts w:ascii="Tahoma" w:hAnsi="Tahoma" w:cs="Tahoma"/>
          <w:b w:val="0"/>
          <w:sz w:val="22"/>
          <w:lang w:val="es-CO"/>
        </w:rPr>
        <w:t>l</w:t>
      </w:r>
      <w:r>
        <w:rPr>
          <w:rFonts w:ascii="Tahoma" w:hAnsi="Tahoma" w:cs="Tahoma"/>
          <w:b w:val="0"/>
          <w:sz w:val="22"/>
          <w:lang w:val="es-CO"/>
        </w:rPr>
        <w:t xml:space="preserve"> </w:t>
      </w:r>
      <w:r w:rsidR="00EB7EE1" w:rsidRPr="00EB7EE1">
        <w:rPr>
          <w:rFonts w:ascii="Tahoma" w:hAnsi="Tahoma" w:cs="Tahoma"/>
          <w:sz w:val="22"/>
          <w:lang w:val="es-CO"/>
        </w:rPr>
        <w:t>63.04</w:t>
      </w:r>
      <w:r w:rsidRPr="004A698D">
        <w:rPr>
          <w:rFonts w:ascii="Tahoma" w:hAnsi="Tahoma" w:cs="Tahoma"/>
          <w:sz w:val="22"/>
          <w:lang w:val="es-CO"/>
        </w:rPr>
        <w:t>%</w:t>
      </w:r>
      <w:r>
        <w:rPr>
          <w:rFonts w:ascii="Tahoma" w:hAnsi="Tahoma" w:cs="Tahoma"/>
          <w:b w:val="0"/>
          <w:sz w:val="22"/>
          <w:lang w:val="es-CO"/>
        </w:rPr>
        <w:t xml:space="preserve"> dó</w:t>
      </w:r>
      <w:r w:rsidR="00B867BE">
        <w:rPr>
          <w:rFonts w:ascii="Tahoma" w:hAnsi="Tahoma" w:cs="Tahoma"/>
          <w:b w:val="0"/>
          <w:sz w:val="22"/>
          <w:lang w:val="es-CO"/>
        </w:rPr>
        <w:t>nde el límite máximo es del 80%, como se evidencia a continuación:</w:t>
      </w:r>
    </w:p>
    <w:p w:rsidR="00B867BE" w:rsidRDefault="00B867BE" w:rsidP="00AC2164">
      <w:pPr>
        <w:pStyle w:val="Ttulo2"/>
        <w:jc w:val="both"/>
        <w:rPr>
          <w:rFonts w:ascii="Tahoma" w:hAnsi="Tahoma" w:cs="Tahoma"/>
          <w:b w:val="0"/>
          <w:sz w:val="22"/>
          <w:lang w:val="es-CO"/>
        </w:rPr>
      </w:pP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B867BE" w:rsidRPr="00B867BE" w:rsidTr="00B867BE">
        <w:trPr>
          <w:tblCellSpacing w:w="15" w:type="dxa"/>
          <w:jc w:val="center"/>
        </w:trPr>
        <w:tc>
          <w:tcPr>
            <w:tcW w:w="0" w:type="auto"/>
            <w:shd w:val="clear" w:color="auto" w:fill="EAF5FF"/>
            <w:vAlign w:val="center"/>
            <w:hideMark/>
          </w:tcPr>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10"/>
              <w:gridCol w:w="5221"/>
              <w:gridCol w:w="2669"/>
            </w:tblGrid>
            <w:tr w:rsidR="00EB7EE1" w:rsidRPr="009E1BDB">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867BE" w:rsidRPr="009E1BDB" w:rsidRDefault="00B867BE" w:rsidP="00B867BE">
                  <w:pPr>
                    <w:spacing w:before="0" w:after="0"/>
                    <w:rPr>
                      <w:rFonts w:eastAsia="Times New Roman"/>
                      <w:color w:val="auto"/>
                      <w:sz w:val="18"/>
                      <w:szCs w:val="18"/>
                    </w:rPr>
                  </w:pPr>
                  <w:r w:rsidRPr="009E1BDB">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867BE" w:rsidRPr="009E1BDB" w:rsidRDefault="00B867BE" w:rsidP="00B867BE">
                  <w:pPr>
                    <w:spacing w:before="0" w:after="0"/>
                    <w:jc w:val="center"/>
                    <w:rPr>
                      <w:rFonts w:eastAsia="Times New Roman"/>
                      <w:color w:val="auto"/>
                      <w:sz w:val="18"/>
                      <w:szCs w:val="18"/>
                    </w:rPr>
                  </w:pPr>
                  <w:r w:rsidRPr="009E1BDB">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867BE" w:rsidRPr="009E1BDB" w:rsidRDefault="0065684C" w:rsidP="00B867BE">
                  <w:pPr>
                    <w:spacing w:before="0" w:after="0"/>
                    <w:jc w:val="right"/>
                    <w:rPr>
                      <w:rFonts w:eastAsia="Times New Roman"/>
                      <w:color w:val="auto"/>
                      <w:sz w:val="18"/>
                      <w:szCs w:val="18"/>
                    </w:rPr>
                  </w:pPr>
                  <w:r w:rsidRPr="009E1BDB">
                    <w:rPr>
                      <w:rFonts w:eastAsia="Times New Roman"/>
                      <w:color w:val="auto"/>
                      <w:sz w:val="18"/>
                      <w:szCs w:val="18"/>
                    </w:rPr>
                    <w:t>1.128</w:t>
                  </w:r>
                  <w:r w:rsidR="00EB7EE1" w:rsidRPr="009E1BDB">
                    <w:rPr>
                      <w:rFonts w:eastAsia="Times New Roman"/>
                      <w:color w:val="auto"/>
                      <w:sz w:val="18"/>
                      <w:szCs w:val="18"/>
                    </w:rPr>
                    <w:t>.830</w:t>
                  </w:r>
                </w:p>
              </w:tc>
            </w:tr>
          </w:tbl>
          <w:p w:rsidR="00B867BE" w:rsidRPr="009E1BDB" w:rsidRDefault="00B867BE" w:rsidP="00B867BE">
            <w:pPr>
              <w:spacing w:before="0" w:after="0"/>
              <w:jc w:val="center"/>
              <w:rPr>
                <w:rFonts w:eastAsia="Times New Roman"/>
                <w:color w:val="auto"/>
                <w:sz w:val="18"/>
                <w:szCs w:val="18"/>
              </w:rPr>
            </w:pPr>
          </w:p>
        </w:tc>
      </w:tr>
      <w:tr w:rsidR="00B867BE" w:rsidRPr="00B867BE" w:rsidTr="00B867BE">
        <w:trPr>
          <w:tblCellSpacing w:w="15" w:type="dxa"/>
          <w:jc w:val="center"/>
        </w:trPr>
        <w:tc>
          <w:tcPr>
            <w:tcW w:w="0" w:type="auto"/>
            <w:shd w:val="clear" w:color="auto" w:fill="EAF5FF"/>
            <w:vAlign w:val="center"/>
            <w:hideMark/>
          </w:tcPr>
          <w:p w:rsidR="00B867BE" w:rsidRPr="009E1BDB" w:rsidRDefault="00B867BE" w:rsidP="00B867BE">
            <w:pPr>
              <w:spacing w:before="0" w:after="0"/>
              <w:jc w:val="center"/>
              <w:rPr>
                <w:rFonts w:eastAsia="Times New Roman"/>
                <w:color w:val="auto"/>
                <w:sz w:val="18"/>
                <w:szCs w:val="18"/>
              </w:rPr>
            </w:pPr>
            <w:r w:rsidRPr="009E1BDB">
              <w:rPr>
                <w:rFonts w:eastAsia="Times New Roman"/>
                <w:b/>
                <w:bCs/>
                <w:color w:val="auto"/>
                <w:sz w:val="18"/>
                <w:szCs w:val="18"/>
              </w:rPr>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B867BE" w:rsidRPr="009E1BDB">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867BE" w:rsidRPr="009E1BDB" w:rsidRDefault="00B867BE" w:rsidP="00B867BE">
                  <w:pPr>
                    <w:spacing w:before="0" w:after="0"/>
                    <w:rPr>
                      <w:rFonts w:eastAsia="Times New Roman"/>
                      <w:color w:val="auto"/>
                      <w:sz w:val="18"/>
                      <w:szCs w:val="18"/>
                    </w:rPr>
                  </w:pPr>
                </w:p>
              </w:tc>
            </w:tr>
            <w:tr w:rsidR="00B867BE" w:rsidRPr="009E1BDB">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B867BE" w:rsidRPr="009E1BDB" w:rsidRDefault="00B867BE" w:rsidP="00B867BE">
                  <w:pPr>
                    <w:spacing w:before="0" w:after="0"/>
                    <w:jc w:val="center"/>
                    <w:rPr>
                      <w:rFonts w:eastAsia="Times New Roman"/>
                      <w:color w:val="auto"/>
                      <w:sz w:val="18"/>
                      <w:szCs w:val="18"/>
                    </w:rPr>
                  </w:pPr>
                  <w:r w:rsidRPr="009E1BDB">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B867BE" w:rsidRPr="009E1BDB" w:rsidRDefault="00B867BE" w:rsidP="00B867BE">
                  <w:pPr>
                    <w:spacing w:before="0" w:after="0"/>
                    <w:jc w:val="center"/>
                    <w:rPr>
                      <w:rFonts w:eastAsia="Times New Roman"/>
                      <w:color w:val="auto"/>
                      <w:sz w:val="18"/>
                      <w:szCs w:val="18"/>
                    </w:rPr>
                  </w:pPr>
                  <w:r w:rsidRPr="009E1BDB">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B867BE" w:rsidRPr="009E1BDB" w:rsidRDefault="00B867BE" w:rsidP="00B867BE">
                  <w:pPr>
                    <w:spacing w:before="0" w:after="0"/>
                    <w:jc w:val="center"/>
                    <w:rPr>
                      <w:rFonts w:eastAsia="Times New Roman"/>
                      <w:color w:val="auto"/>
                      <w:sz w:val="18"/>
                      <w:szCs w:val="18"/>
                    </w:rPr>
                  </w:pPr>
                  <w:r w:rsidRPr="009E1BDB">
                    <w:rPr>
                      <w:rFonts w:eastAsia="Times New Roman"/>
                      <w:b/>
                      <w:bCs/>
                      <w:color w:val="auto"/>
                      <w:sz w:val="18"/>
                      <w:szCs w:val="18"/>
                    </w:rPr>
                    <w:t>Ejecución (Miles de Pesos)</w:t>
                  </w:r>
                </w:p>
              </w:tc>
            </w:tr>
            <w:tr w:rsidR="00B867BE" w:rsidRPr="009E1BDB">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867BE" w:rsidRPr="009E1BDB" w:rsidRDefault="00B867BE" w:rsidP="00B867BE">
                  <w:pPr>
                    <w:spacing w:before="0" w:after="0"/>
                    <w:rPr>
                      <w:rFonts w:eastAsia="Times New Roman"/>
                      <w:color w:val="auto"/>
                      <w:sz w:val="18"/>
                      <w:szCs w:val="18"/>
                    </w:rPr>
                  </w:pPr>
                  <w:r w:rsidRPr="009E1BDB">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867BE" w:rsidRPr="009E1BDB" w:rsidRDefault="00B867BE" w:rsidP="00B867BE">
                  <w:pPr>
                    <w:spacing w:before="0" w:after="0"/>
                    <w:rPr>
                      <w:rFonts w:eastAsia="Times New Roman"/>
                      <w:color w:val="auto"/>
                      <w:sz w:val="18"/>
                      <w:szCs w:val="18"/>
                    </w:rPr>
                  </w:pPr>
                  <w:r w:rsidRPr="009E1BDB">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867BE" w:rsidRPr="009E1BDB" w:rsidRDefault="0065684C" w:rsidP="00B867BE">
                  <w:pPr>
                    <w:spacing w:before="0" w:after="0"/>
                    <w:jc w:val="right"/>
                    <w:rPr>
                      <w:rFonts w:eastAsia="Times New Roman"/>
                      <w:color w:val="auto"/>
                      <w:sz w:val="18"/>
                      <w:szCs w:val="18"/>
                    </w:rPr>
                  </w:pPr>
                  <w:r w:rsidRPr="009E1BDB">
                    <w:rPr>
                      <w:rFonts w:eastAsia="Times New Roman"/>
                      <w:color w:val="auto"/>
                      <w:sz w:val="18"/>
                      <w:szCs w:val="18"/>
                    </w:rPr>
                    <w:t>566.007</w:t>
                  </w:r>
                </w:p>
              </w:tc>
            </w:tr>
            <w:tr w:rsidR="00B867BE" w:rsidRPr="009E1BDB">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867BE" w:rsidRPr="009E1BDB" w:rsidRDefault="00B867BE" w:rsidP="00B867BE">
                  <w:pPr>
                    <w:spacing w:before="0" w:after="0"/>
                    <w:rPr>
                      <w:rFonts w:eastAsia="Times New Roman"/>
                      <w:color w:val="auto"/>
                      <w:sz w:val="18"/>
                      <w:szCs w:val="18"/>
                    </w:rPr>
                  </w:pPr>
                  <w:r w:rsidRPr="009E1BDB">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867BE" w:rsidRPr="009E1BDB" w:rsidRDefault="00B867BE" w:rsidP="00B867BE">
                  <w:pPr>
                    <w:spacing w:before="0" w:after="0"/>
                    <w:rPr>
                      <w:rFonts w:eastAsia="Times New Roman"/>
                      <w:color w:val="auto"/>
                      <w:sz w:val="18"/>
                      <w:szCs w:val="18"/>
                    </w:rPr>
                  </w:pPr>
                  <w:r w:rsidRPr="009E1BDB">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867BE" w:rsidRPr="009E1BDB" w:rsidRDefault="0065684C" w:rsidP="00B867BE">
                  <w:pPr>
                    <w:spacing w:before="0" w:after="0"/>
                    <w:jc w:val="right"/>
                    <w:rPr>
                      <w:rFonts w:eastAsia="Times New Roman"/>
                      <w:color w:val="auto"/>
                      <w:sz w:val="18"/>
                      <w:szCs w:val="18"/>
                    </w:rPr>
                  </w:pPr>
                  <w:r w:rsidRPr="009E1BDB">
                    <w:rPr>
                      <w:rFonts w:eastAsia="Times New Roman"/>
                      <w:color w:val="auto"/>
                      <w:sz w:val="18"/>
                      <w:szCs w:val="18"/>
                    </w:rPr>
                    <w:t>145.601</w:t>
                  </w:r>
                </w:p>
              </w:tc>
            </w:tr>
            <w:tr w:rsidR="00B867BE" w:rsidRPr="009E1BDB">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867BE" w:rsidRPr="009E1BDB" w:rsidRDefault="00B867BE" w:rsidP="00B867BE">
                  <w:pPr>
                    <w:spacing w:before="0" w:after="0"/>
                    <w:rPr>
                      <w:rFonts w:eastAsia="Times New Roman"/>
                      <w:color w:val="auto"/>
                      <w:sz w:val="18"/>
                      <w:szCs w:val="18"/>
                    </w:rPr>
                  </w:pPr>
                  <w:r w:rsidRPr="009E1BDB">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867BE" w:rsidRPr="009E1BDB" w:rsidRDefault="00B867BE" w:rsidP="00B867BE">
                  <w:pPr>
                    <w:spacing w:before="0" w:after="0"/>
                    <w:jc w:val="center"/>
                    <w:rPr>
                      <w:rFonts w:eastAsia="Times New Roman"/>
                      <w:color w:val="auto"/>
                      <w:sz w:val="18"/>
                      <w:szCs w:val="18"/>
                    </w:rPr>
                  </w:pPr>
                  <w:r w:rsidRPr="009E1BDB">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867BE" w:rsidRPr="009E1BDB" w:rsidRDefault="0065684C" w:rsidP="00B867BE">
                  <w:pPr>
                    <w:spacing w:before="0" w:after="0"/>
                    <w:jc w:val="right"/>
                    <w:rPr>
                      <w:rFonts w:eastAsia="Times New Roman"/>
                      <w:color w:val="auto"/>
                      <w:sz w:val="18"/>
                      <w:szCs w:val="18"/>
                    </w:rPr>
                  </w:pPr>
                  <w:r w:rsidRPr="009E1BDB">
                    <w:rPr>
                      <w:rFonts w:eastAsia="Times New Roman"/>
                      <w:b/>
                      <w:bCs/>
                      <w:color w:val="auto"/>
                      <w:sz w:val="18"/>
                      <w:szCs w:val="18"/>
                    </w:rPr>
                    <w:t>711.608</w:t>
                  </w:r>
                </w:p>
              </w:tc>
            </w:tr>
          </w:tbl>
          <w:p w:rsidR="00B867BE" w:rsidRPr="009E1BDB" w:rsidRDefault="00B867BE" w:rsidP="00B867BE">
            <w:pPr>
              <w:spacing w:before="0" w:after="0"/>
              <w:jc w:val="center"/>
              <w:rPr>
                <w:rFonts w:eastAsia="Times New Roman"/>
                <w:color w:val="auto"/>
                <w:sz w:val="18"/>
                <w:szCs w:val="18"/>
              </w:rPr>
            </w:pPr>
          </w:p>
        </w:tc>
      </w:tr>
      <w:tr w:rsidR="00B867BE" w:rsidRPr="00B867BE" w:rsidTr="00B867BE">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29"/>
              <w:gridCol w:w="1171"/>
            </w:tblGrid>
            <w:tr w:rsidR="00B867BE" w:rsidRPr="009E1BDB">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867BE" w:rsidRPr="009E1BDB" w:rsidRDefault="00B867BE" w:rsidP="00B867BE">
                  <w:pPr>
                    <w:spacing w:before="0" w:after="0"/>
                    <w:jc w:val="center"/>
                    <w:rPr>
                      <w:rFonts w:eastAsia="Times New Roman"/>
                      <w:color w:val="auto"/>
                      <w:sz w:val="18"/>
                      <w:szCs w:val="18"/>
                    </w:rPr>
                  </w:pPr>
                  <w:r w:rsidRPr="009E1BDB">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B867BE" w:rsidRPr="009E1BDB" w:rsidRDefault="00EB7EE1" w:rsidP="00B867BE">
                  <w:pPr>
                    <w:spacing w:before="0" w:after="0"/>
                    <w:jc w:val="right"/>
                    <w:rPr>
                      <w:rFonts w:eastAsia="Times New Roman"/>
                      <w:color w:val="auto"/>
                      <w:sz w:val="18"/>
                      <w:szCs w:val="18"/>
                    </w:rPr>
                  </w:pPr>
                  <w:r w:rsidRPr="009E1BDB">
                    <w:rPr>
                      <w:rFonts w:eastAsia="Times New Roman"/>
                      <w:b/>
                      <w:bCs/>
                      <w:color w:val="auto"/>
                      <w:sz w:val="18"/>
                      <w:szCs w:val="18"/>
                    </w:rPr>
                    <w:t>63,04</w:t>
                  </w:r>
                  <w:r w:rsidR="00B867BE" w:rsidRPr="009E1BDB">
                    <w:rPr>
                      <w:rFonts w:eastAsia="Times New Roman"/>
                      <w:b/>
                      <w:bCs/>
                      <w:color w:val="auto"/>
                      <w:sz w:val="18"/>
                      <w:szCs w:val="18"/>
                    </w:rPr>
                    <w:t>%</w:t>
                  </w:r>
                </w:p>
              </w:tc>
            </w:tr>
            <w:tr w:rsidR="00B867BE" w:rsidRPr="009E1BDB">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867BE" w:rsidRPr="009E1BDB" w:rsidRDefault="00B867BE" w:rsidP="00B867BE">
                  <w:pPr>
                    <w:spacing w:before="0" w:after="0"/>
                    <w:jc w:val="center"/>
                    <w:rPr>
                      <w:rFonts w:eastAsia="Times New Roman"/>
                      <w:color w:val="auto"/>
                      <w:sz w:val="18"/>
                      <w:szCs w:val="18"/>
                    </w:rPr>
                  </w:pPr>
                  <w:r w:rsidRPr="009E1BDB">
                    <w:rPr>
                      <w:rFonts w:eastAsia="Times New Roman"/>
                      <w:b/>
                      <w:bCs/>
                      <w:color w:val="auto"/>
                      <w:sz w:val="18"/>
                      <w:szCs w:val="18"/>
                    </w:rPr>
                    <w:t>Limte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B867BE" w:rsidRPr="009E1BDB" w:rsidRDefault="00B867BE" w:rsidP="00EB7EE1">
                  <w:pPr>
                    <w:spacing w:before="0" w:after="0"/>
                    <w:jc w:val="right"/>
                    <w:rPr>
                      <w:rFonts w:eastAsia="Times New Roman"/>
                      <w:color w:val="auto"/>
                      <w:sz w:val="18"/>
                      <w:szCs w:val="18"/>
                    </w:rPr>
                  </w:pPr>
                  <w:r w:rsidRPr="009E1BDB">
                    <w:rPr>
                      <w:rFonts w:eastAsia="Times New Roman"/>
                      <w:b/>
                      <w:bCs/>
                      <w:color w:val="auto"/>
                      <w:sz w:val="18"/>
                      <w:szCs w:val="18"/>
                    </w:rPr>
                    <w:t>3</w:t>
                  </w:r>
                  <w:r w:rsidR="00EB7EE1" w:rsidRPr="009E1BDB">
                    <w:rPr>
                      <w:rFonts w:eastAsia="Times New Roman"/>
                      <w:b/>
                      <w:bCs/>
                      <w:color w:val="auto"/>
                      <w:sz w:val="18"/>
                      <w:szCs w:val="18"/>
                    </w:rPr>
                    <w:t>6.96</w:t>
                  </w:r>
                  <w:r w:rsidRPr="009E1BDB">
                    <w:rPr>
                      <w:rFonts w:eastAsia="Times New Roman"/>
                      <w:b/>
                      <w:bCs/>
                      <w:color w:val="auto"/>
                      <w:sz w:val="18"/>
                      <w:szCs w:val="18"/>
                    </w:rPr>
                    <w:t>%</w:t>
                  </w:r>
                </w:p>
              </w:tc>
            </w:tr>
          </w:tbl>
          <w:p w:rsidR="00B867BE" w:rsidRPr="009E1BDB" w:rsidRDefault="00B867BE" w:rsidP="00B867BE">
            <w:pPr>
              <w:spacing w:before="0" w:after="0"/>
              <w:jc w:val="center"/>
              <w:rPr>
                <w:rFonts w:eastAsia="Times New Roman"/>
                <w:color w:val="auto"/>
                <w:sz w:val="18"/>
                <w:szCs w:val="18"/>
              </w:rPr>
            </w:pPr>
          </w:p>
        </w:tc>
      </w:tr>
    </w:tbl>
    <w:p w:rsidR="004B7B3F" w:rsidRPr="00776215" w:rsidRDefault="00E15E67" w:rsidP="004B7B3F">
      <w:pPr>
        <w:spacing w:before="0" w:after="0"/>
        <w:jc w:val="both"/>
        <w:rPr>
          <w:rFonts w:ascii="Tahoma" w:eastAsia="Times New Roman" w:hAnsi="Tahoma" w:cs="Tahoma"/>
          <w:b/>
          <w:bCs/>
          <w:color w:val="auto"/>
        </w:rPr>
      </w:pPr>
      <w:r w:rsidRPr="00776215">
        <w:rPr>
          <w:rFonts w:ascii="Tahoma" w:eastAsia="Times New Roman" w:hAnsi="Tahoma" w:cs="Tahoma"/>
          <w:b/>
          <w:bCs/>
          <w:color w:val="auto"/>
        </w:rPr>
        <w:lastRenderedPageBreak/>
        <w:t xml:space="preserve">GASTOS DE LAS CORPORACIONES </w:t>
      </w:r>
      <w:r w:rsidR="005F4A02" w:rsidRPr="00776215">
        <w:rPr>
          <w:rFonts w:ascii="Tahoma" w:eastAsia="Times New Roman" w:hAnsi="Tahoma" w:cs="Tahoma"/>
          <w:b/>
          <w:bCs/>
          <w:color w:val="auto"/>
        </w:rPr>
        <w:t>PÚBLICAS</w:t>
      </w:r>
      <w:r w:rsidRPr="00776215">
        <w:rPr>
          <w:rFonts w:ascii="Tahoma" w:eastAsia="Times New Roman" w:hAnsi="Tahoma" w:cs="Tahoma"/>
          <w:b/>
          <w:bCs/>
          <w:color w:val="auto"/>
        </w:rPr>
        <w:t xml:space="preserve"> – CONCEJO MUNICIPAL</w:t>
      </w:r>
    </w:p>
    <w:p w:rsidR="00E15E67" w:rsidRPr="00776215" w:rsidRDefault="00E15E67" w:rsidP="004B7B3F">
      <w:pPr>
        <w:spacing w:before="0" w:after="0"/>
        <w:jc w:val="both"/>
        <w:rPr>
          <w:rFonts w:ascii="Tahoma" w:eastAsia="Times New Roman" w:hAnsi="Tahoma" w:cs="Tahoma"/>
          <w:b/>
          <w:bCs/>
          <w:color w:val="auto"/>
        </w:rPr>
      </w:pPr>
    </w:p>
    <w:p w:rsidR="00763FDB" w:rsidRDefault="00E15E67" w:rsidP="004B7B3F">
      <w:pPr>
        <w:spacing w:before="0" w:after="0"/>
        <w:jc w:val="both"/>
        <w:rPr>
          <w:rFonts w:ascii="Tahoma" w:hAnsi="Tahoma" w:cs="Tahoma"/>
        </w:rPr>
      </w:pPr>
      <w:r w:rsidRPr="00A66750">
        <w:rPr>
          <w:rFonts w:ascii="Tahoma" w:eastAsia="Times New Roman" w:hAnsi="Tahoma" w:cs="Tahoma"/>
          <w:bCs/>
          <w:color w:val="auto"/>
        </w:rPr>
        <w:t xml:space="preserve">El </w:t>
      </w:r>
      <w:r w:rsidR="00C86CA5">
        <w:rPr>
          <w:rFonts w:ascii="Tahoma" w:eastAsia="Times New Roman" w:hAnsi="Tahoma" w:cs="Tahoma"/>
          <w:bCs/>
          <w:color w:val="auto"/>
        </w:rPr>
        <w:t>ente Territorial</w:t>
      </w:r>
      <w:r w:rsidRPr="00A66750">
        <w:rPr>
          <w:rFonts w:ascii="Tahoma" w:eastAsia="Times New Roman" w:hAnsi="Tahoma" w:cs="Tahoma"/>
          <w:bCs/>
          <w:color w:val="auto"/>
        </w:rPr>
        <w:t xml:space="preserve"> para la vigencia 2015, le transfirió al Concejo Municipal la suma de $1</w:t>
      </w:r>
      <w:r w:rsidR="007D7B69">
        <w:rPr>
          <w:rFonts w:ascii="Tahoma" w:eastAsia="Times New Roman" w:hAnsi="Tahoma" w:cs="Tahoma"/>
          <w:bCs/>
          <w:color w:val="auto"/>
        </w:rPr>
        <w:t>10</w:t>
      </w:r>
      <w:r w:rsidR="00EE23CA" w:rsidRPr="00EE23CA">
        <w:rPr>
          <w:rFonts w:ascii="Tahoma" w:hAnsi="Tahoma" w:cs="Tahoma"/>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de los cuales $</w:t>
      </w:r>
      <w:r w:rsidR="007D7B69">
        <w:rPr>
          <w:rFonts w:ascii="Tahoma" w:eastAsia="Times New Roman" w:hAnsi="Tahoma" w:cs="Tahoma"/>
          <w:bCs/>
          <w:color w:val="auto"/>
        </w:rPr>
        <w:t>7</w:t>
      </w:r>
      <w:r w:rsidR="00874728">
        <w:rPr>
          <w:rFonts w:ascii="Tahoma" w:eastAsia="Times New Roman" w:hAnsi="Tahoma" w:cs="Tahoma"/>
          <w:bCs/>
          <w:color w:val="auto"/>
        </w:rPr>
        <w:t>8</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correspondieron a honorarios de Concejales y $</w:t>
      </w:r>
      <w:r w:rsidR="007D7B69">
        <w:rPr>
          <w:rFonts w:ascii="Tahoma" w:eastAsia="Times New Roman" w:hAnsi="Tahoma" w:cs="Tahoma"/>
          <w:bCs/>
          <w:color w:val="auto"/>
        </w:rPr>
        <w:t>31</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para gastos de funcionamiento</w:t>
      </w:r>
      <w:r w:rsidR="007B5621" w:rsidRPr="00A66750">
        <w:rPr>
          <w:rFonts w:ascii="Tahoma" w:eastAsia="Times New Roman" w:hAnsi="Tahoma" w:cs="Tahoma"/>
          <w:bCs/>
          <w:color w:val="auto"/>
        </w:rPr>
        <w:t xml:space="preserve">, con ello </w:t>
      </w:r>
      <w:r w:rsidR="001B475A">
        <w:rPr>
          <w:rFonts w:ascii="Tahoma" w:eastAsia="Times New Roman" w:hAnsi="Tahoma" w:cs="Tahoma"/>
          <w:bCs/>
          <w:color w:val="auto"/>
        </w:rPr>
        <w:t xml:space="preserve">el Municipio de </w:t>
      </w:r>
      <w:r w:rsidR="007D7B69">
        <w:rPr>
          <w:rFonts w:ascii="Tahoma" w:eastAsia="Times New Roman" w:hAnsi="Tahoma" w:cs="Tahoma"/>
          <w:bCs/>
          <w:color w:val="auto"/>
        </w:rPr>
        <w:t>Casabianca</w:t>
      </w:r>
      <w:r w:rsidR="007A46D7">
        <w:rPr>
          <w:rFonts w:ascii="Tahoma" w:eastAsia="Times New Roman" w:hAnsi="Tahoma" w:cs="Tahoma"/>
          <w:bCs/>
          <w:color w:val="auto"/>
        </w:rPr>
        <w:t xml:space="preserve"> </w:t>
      </w:r>
      <w:r w:rsidR="007D7B69" w:rsidRPr="007D7B69">
        <w:rPr>
          <w:rFonts w:ascii="Tahoma" w:eastAsia="Times New Roman" w:hAnsi="Tahoma" w:cs="Tahoma"/>
          <w:b/>
          <w:bCs/>
          <w:color w:val="auto"/>
        </w:rPr>
        <w:t>NO</w:t>
      </w:r>
      <w:r w:rsidR="007D7B69">
        <w:rPr>
          <w:rFonts w:ascii="Tahoma" w:eastAsia="Times New Roman" w:hAnsi="Tahoma" w:cs="Tahoma"/>
          <w:bCs/>
          <w:color w:val="auto"/>
        </w:rPr>
        <w:t xml:space="preserve"> </w:t>
      </w:r>
      <w:r w:rsidR="00640913" w:rsidRPr="00A66750">
        <w:rPr>
          <w:rFonts w:ascii="Tahoma" w:eastAsia="Times New Roman" w:hAnsi="Tahoma" w:cs="Tahoma"/>
          <w:bCs/>
          <w:color w:val="auto"/>
        </w:rPr>
        <w:t>d</w:t>
      </w:r>
      <w:r w:rsidR="001B475A">
        <w:rPr>
          <w:rFonts w:ascii="Tahoma" w:eastAsia="Times New Roman" w:hAnsi="Tahoma" w:cs="Tahoma"/>
          <w:bCs/>
          <w:color w:val="auto"/>
        </w:rPr>
        <w:t>io</w:t>
      </w:r>
      <w:r w:rsidR="00640913" w:rsidRPr="00A66750">
        <w:rPr>
          <w:rFonts w:ascii="Tahoma" w:eastAsia="Times New Roman" w:hAnsi="Tahoma" w:cs="Tahoma"/>
          <w:bCs/>
          <w:color w:val="auto"/>
        </w:rPr>
        <w:t xml:space="preserve"> </w:t>
      </w:r>
      <w:r w:rsidR="00640913" w:rsidRPr="00A66750">
        <w:rPr>
          <w:rFonts w:ascii="Tahoma" w:hAnsi="Tahoma" w:cs="Tahoma"/>
        </w:rPr>
        <w:t>cumplimiento a lo establec</w:t>
      </w:r>
      <w:r w:rsidR="00A66750" w:rsidRPr="00A66750">
        <w:rPr>
          <w:rFonts w:ascii="Tahoma" w:hAnsi="Tahoma" w:cs="Tahoma"/>
        </w:rPr>
        <w:t xml:space="preserve">ido en </w:t>
      </w:r>
      <w:r w:rsidR="00640913" w:rsidRPr="00A66750">
        <w:rPr>
          <w:rFonts w:ascii="Tahoma" w:hAnsi="Tahoma" w:cs="Tahoma"/>
        </w:rPr>
        <w:t>la Ley 617 de</w:t>
      </w:r>
      <w:r w:rsidR="00C86CA5">
        <w:rPr>
          <w:rFonts w:ascii="Tahoma" w:hAnsi="Tahoma" w:cs="Tahoma"/>
        </w:rPr>
        <w:t xml:space="preserve"> 2000 artículo 10,</w:t>
      </w:r>
      <w:r w:rsidR="005172FE">
        <w:rPr>
          <w:rFonts w:ascii="Tahoma" w:hAnsi="Tahoma" w:cs="Tahoma"/>
        </w:rPr>
        <w:t xml:space="preserve"> que en lo pertinente dice: “</w:t>
      </w:r>
      <w:r w:rsidR="005172FE" w:rsidRPr="00AB4AFF">
        <w:rPr>
          <w:rFonts w:ascii="Tahoma" w:hAnsi="Tahoma" w:cs="Tahoma"/>
          <w:i/>
        </w:rPr>
        <w:t>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5172FE">
        <w:rPr>
          <w:rFonts w:ascii="Tahoma" w:hAnsi="Tahoma" w:cs="Tahoma"/>
        </w:rPr>
        <w:t>”.</w:t>
      </w:r>
      <w:r w:rsidR="00763FDB">
        <w:rPr>
          <w:rFonts w:ascii="Tahoma" w:hAnsi="Tahoma" w:cs="Tahoma"/>
        </w:rPr>
        <w:t xml:space="preserve"> Es decir, </w:t>
      </w:r>
      <w:r w:rsidR="001B475A">
        <w:rPr>
          <w:rFonts w:ascii="Tahoma" w:hAnsi="Tahoma" w:cs="Tahoma"/>
        </w:rPr>
        <w:t>l</w:t>
      </w:r>
      <w:r w:rsidR="00763FDB">
        <w:rPr>
          <w:rFonts w:ascii="Tahoma" w:hAnsi="Tahoma" w:cs="Tahoma"/>
        </w:rPr>
        <w:t>a suma de $</w:t>
      </w:r>
      <w:r w:rsidR="007D7B69">
        <w:rPr>
          <w:rFonts w:ascii="Tahoma" w:hAnsi="Tahoma" w:cs="Tahoma"/>
        </w:rPr>
        <w:t>16.932.450</w:t>
      </w:r>
      <w:r w:rsidR="007A46D7">
        <w:rPr>
          <w:rFonts w:ascii="Tahoma" w:hAnsi="Tahoma" w:cs="Tahoma"/>
        </w:rPr>
        <w:t>.oo</w:t>
      </w:r>
      <w:r w:rsidR="00750582">
        <w:rPr>
          <w:rFonts w:ascii="Tahoma" w:hAnsi="Tahoma" w:cs="Tahoma"/>
        </w:rPr>
        <w:t xml:space="preserve">.  Significa lo anterior que el Municipio de </w:t>
      </w:r>
      <w:r w:rsidR="007D7B69">
        <w:rPr>
          <w:rFonts w:ascii="Tahoma" w:hAnsi="Tahoma" w:cs="Tahoma"/>
        </w:rPr>
        <w:t xml:space="preserve">Casabianca </w:t>
      </w:r>
      <w:r w:rsidR="00AB4AFF">
        <w:rPr>
          <w:rFonts w:ascii="Tahoma" w:hAnsi="Tahoma" w:cs="Tahoma"/>
        </w:rPr>
        <w:t xml:space="preserve">le </w:t>
      </w:r>
      <w:r w:rsidR="00750582">
        <w:rPr>
          <w:rFonts w:ascii="Tahoma" w:hAnsi="Tahoma" w:cs="Tahoma"/>
        </w:rPr>
        <w:t xml:space="preserve">transfirió </w:t>
      </w:r>
      <w:r w:rsidR="00AB4AFF">
        <w:rPr>
          <w:rFonts w:ascii="Tahoma" w:hAnsi="Tahoma" w:cs="Tahoma"/>
        </w:rPr>
        <w:t xml:space="preserve">de más </w:t>
      </w:r>
      <w:r w:rsidR="00750582">
        <w:rPr>
          <w:rFonts w:ascii="Tahoma" w:hAnsi="Tahoma" w:cs="Tahoma"/>
        </w:rPr>
        <w:t>al concejo Municipal</w:t>
      </w:r>
      <w:r w:rsidR="00AB4AFF">
        <w:rPr>
          <w:rFonts w:ascii="Tahoma" w:hAnsi="Tahoma" w:cs="Tahoma"/>
        </w:rPr>
        <w:t xml:space="preserve"> la suma de  $14.</w:t>
      </w:r>
      <w:r w:rsidR="007D7B69">
        <w:rPr>
          <w:rFonts w:ascii="Tahoma" w:hAnsi="Tahoma" w:cs="Tahoma"/>
        </w:rPr>
        <w:t>931.580</w:t>
      </w:r>
      <w:r w:rsidR="00AB4AFF">
        <w:rPr>
          <w:rFonts w:ascii="Tahoma" w:hAnsi="Tahoma" w:cs="Tahoma"/>
        </w:rPr>
        <w:t xml:space="preserve">.oo para gastos de Funcionamiento, incumpliendo con ello </w:t>
      </w:r>
      <w:r w:rsidR="00AB4AFF" w:rsidRPr="00A66750">
        <w:rPr>
          <w:rFonts w:ascii="Tahoma" w:hAnsi="Tahoma" w:cs="Tahoma"/>
        </w:rPr>
        <w:t>a lo establecido en la Ley 617 de</w:t>
      </w:r>
      <w:r w:rsidR="00AB4AFF">
        <w:rPr>
          <w:rFonts w:ascii="Tahoma" w:hAnsi="Tahoma" w:cs="Tahoma"/>
        </w:rPr>
        <w:t xml:space="preserve"> 2000 artículo 10.</w:t>
      </w:r>
    </w:p>
    <w:p w:rsidR="00AB4AFF" w:rsidRDefault="00AB4AFF" w:rsidP="004B7B3F">
      <w:pPr>
        <w:spacing w:before="0" w:after="0"/>
        <w:jc w:val="both"/>
        <w:rPr>
          <w:rFonts w:ascii="Tahoma" w:hAnsi="Tahoma" w:cs="Tahoma"/>
        </w:rPr>
      </w:pPr>
    </w:p>
    <w:p w:rsidR="00231ECA" w:rsidRDefault="00645C46" w:rsidP="004B7B3F">
      <w:pPr>
        <w:spacing w:before="0" w:after="0"/>
        <w:jc w:val="both"/>
        <w:rPr>
          <w:rFonts w:eastAsia="Times New Roman"/>
          <w:b/>
          <w:bCs/>
          <w:color w:val="auto"/>
          <w:sz w:val="20"/>
          <w:szCs w:val="20"/>
        </w:rPr>
      </w:pPr>
      <w:r w:rsidRPr="00645C46">
        <w:rPr>
          <w:noProof/>
        </w:rPr>
        <w:drawing>
          <wp:inline distT="0" distB="0" distL="0" distR="0" wp14:anchorId="72517D47" wp14:editId="3B400A99">
            <wp:extent cx="5615999" cy="1144800"/>
            <wp:effectExtent l="0" t="0" r="381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12130" cy="1144011"/>
                    </a:xfrm>
                    <a:prstGeom prst="rect">
                      <a:avLst/>
                    </a:prstGeom>
                  </pic:spPr>
                </pic:pic>
              </a:graphicData>
            </a:graphic>
          </wp:inline>
        </w:drawing>
      </w:r>
    </w:p>
    <w:p w:rsidR="00231ECA" w:rsidRDefault="00231ECA" w:rsidP="004B7B3F">
      <w:pPr>
        <w:spacing w:before="0" w:after="0"/>
        <w:jc w:val="both"/>
        <w:rPr>
          <w:rFonts w:eastAsia="Times New Roman"/>
          <w:b/>
          <w:bCs/>
          <w:color w:val="auto"/>
          <w:sz w:val="20"/>
          <w:szCs w:val="20"/>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acuerdo a la categoría del Municipio.  Para el Municipio de </w:t>
      </w:r>
      <w:r w:rsidR="00BF62B0">
        <w:rPr>
          <w:rFonts w:ascii="Tahoma" w:eastAsia="Times New Roman" w:hAnsi="Tahoma" w:cs="Tahoma"/>
          <w:bCs/>
          <w:color w:val="auto"/>
        </w:rPr>
        <w:t>Casabianc</w:t>
      </w:r>
      <w:r w:rsidR="00F14702">
        <w:rPr>
          <w:rFonts w:ascii="Tahoma" w:eastAsia="Times New Roman" w:hAnsi="Tahoma" w:cs="Tahoma"/>
          <w:bCs/>
          <w:color w:val="auto"/>
        </w:rPr>
        <w:t>a</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que se encuentra clasificado en Sexta Categoría, los gastos no podrán superar los 150 SMMV, es decir, para la vigencia 2015 la suma de $96.652.500.oo</w:t>
      </w:r>
    </w:p>
    <w:p w:rsidR="00D34898" w:rsidRPr="00CA76CA" w:rsidRDefault="00ED6C00" w:rsidP="004B7B3F">
      <w:pPr>
        <w:spacing w:before="0" w:after="0"/>
        <w:jc w:val="both"/>
        <w:rPr>
          <w:rFonts w:ascii="Tahoma" w:eastAsia="Times New Roman" w:hAnsi="Tahoma" w:cs="Tahoma"/>
          <w:bCs/>
          <w:color w:val="auto"/>
        </w:rPr>
      </w:pPr>
      <w:r>
        <w:rPr>
          <w:rFonts w:ascii="Tahoma" w:eastAsia="Times New Roman" w:hAnsi="Tahoma" w:cs="Tahoma"/>
          <w:bCs/>
          <w:color w:val="auto"/>
        </w:rPr>
        <w:t xml:space="preserve"> </w:t>
      </w:r>
    </w:p>
    <w:p w:rsidR="00F344D5" w:rsidRPr="00CA76CA" w:rsidRDefault="00F344D5"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Por</w:t>
      </w:r>
      <w:r w:rsidR="00D34898" w:rsidRPr="00CA76CA">
        <w:rPr>
          <w:rFonts w:ascii="Tahoma" w:eastAsia="Times New Roman" w:hAnsi="Tahoma" w:cs="Tahoma"/>
          <w:bCs/>
          <w:color w:val="auto"/>
        </w:rPr>
        <w:t xml:space="preserve"> lo anterior, se observó que la entidad Territorial, </w:t>
      </w:r>
      <w:r w:rsidRPr="00CA76CA">
        <w:rPr>
          <w:rFonts w:ascii="Tahoma" w:eastAsia="Times New Roman" w:hAnsi="Tahoma" w:cs="Tahoma"/>
          <w:bCs/>
          <w:color w:val="auto"/>
        </w:rPr>
        <w:t xml:space="preserve">cumplió con lo Establecido en la ley 617 de 2000, toda vez que </w:t>
      </w:r>
      <w:r w:rsidR="009A2DAC">
        <w:rPr>
          <w:rFonts w:ascii="Tahoma" w:eastAsia="Times New Roman" w:hAnsi="Tahoma" w:cs="Tahoma"/>
          <w:bCs/>
          <w:color w:val="auto"/>
        </w:rPr>
        <w:t xml:space="preserve">el total comprometido de la Personería Municipal fue de 96 millones de pesos, equivalentes a </w:t>
      </w:r>
      <w:r w:rsidR="00D34898" w:rsidRPr="00CA76CA">
        <w:rPr>
          <w:rFonts w:ascii="Tahoma" w:eastAsia="Times New Roman" w:hAnsi="Tahoma" w:cs="Tahoma"/>
          <w:bCs/>
          <w:color w:val="auto"/>
        </w:rPr>
        <w:t>150</w:t>
      </w:r>
      <w:r w:rsidRPr="00CA76CA">
        <w:rPr>
          <w:rFonts w:ascii="Tahoma" w:eastAsia="Times New Roman" w:hAnsi="Tahoma" w:cs="Tahoma"/>
          <w:bCs/>
          <w:color w:val="auto"/>
        </w:rPr>
        <w:t xml:space="preserve"> SM</w:t>
      </w:r>
      <w:r w:rsidR="00D34898" w:rsidRPr="00CA76CA">
        <w:rPr>
          <w:rFonts w:ascii="Tahoma" w:eastAsia="Times New Roman" w:hAnsi="Tahoma" w:cs="Tahoma"/>
          <w:bCs/>
          <w:color w:val="auto"/>
        </w:rPr>
        <w:t>M</w:t>
      </w:r>
      <w:r w:rsidR="00425FF4" w:rsidRPr="00CA76CA">
        <w:rPr>
          <w:rFonts w:ascii="Tahoma" w:eastAsia="Times New Roman" w:hAnsi="Tahoma" w:cs="Tahoma"/>
          <w:bCs/>
          <w:color w:val="auto"/>
        </w:rPr>
        <w:t>V, ver tabla.</w:t>
      </w:r>
    </w:p>
    <w:p w:rsidR="00425FF4" w:rsidRPr="00A05F58" w:rsidRDefault="00425FF4" w:rsidP="004B7B3F">
      <w:pPr>
        <w:spacing w:before="0" w:after="0"/>
        <w:jc w:val="both"/>
        <w:rPr>
          <w:rFonts w:eastAsia="Times New Roman"/>
          <w:bCs/>
          <w:color w:val="auto"/>
          <w:sz w:val="20"/>
          <w:szCs w:val="20"/>
        </w:rPr>
      </w:pPr>
    </w:p>
    <w:tbl>
      <w:tblPr>
        <w:tblStyle w:val="Tablaconcuadrcula"/>
        <w:tblW w:w="0" w:type="auto"/>
        <w:tblLook w:val="04A0" w:firstRow="1" w:lastRow="0" w:firstColumn="1" w:lastColumn="0" w:noHBand="0" w:noVBand="1"/>
      </w:tblPr>
      <w:tblGrid>
        <w:gridCol w:w="2245"/>
        <w:gridCol w:w="2245"/>
        <w:gridCol w:w="2245"/>
        <w:gridCol w:w="2245"/>
      </w:tblGrid>
      <w:tr w:rsidR="00425FF4" w:rsidTr="00425FF4">
        <w:tc>
          <w:tcPr>
            <w:tcW w:w="2245" w:type="dxa"/>
          </w:tcPr>
          <w:p w:rsidR="00425FF4" w:rsidRDefault="00425FF4" w:rsidP="00B212CE">
            <w:pPr>
              <w:jc w:val="center"/>
              <w:rPr>
                <w:lang w:val="es-ES" w:eastAsia="es-ES"/>
              </w:rPr>
            </w:pPr>
            <w:r>
              <w:rPr>
                <w:lang w:val="es-ES" w:eastAsia="es-ES"/>
              </w:rPr>
              <w:t>Presupuesto Inicial</w:t>
            </w:r>
          </w:p>
        </w:tc>
        <w:tc>
          <w:tcPr>
            <w:tcW w:w="2245" w:type="dxa"/>
          </w:tcPr>
          <w:p w:rsidR="00425FF4" w:rsidRDefault="00425FF4" w:rsidP="00B212CE">
            <w:pPr>
              <w:jc w:val="center"/>
              <w:rPr>
                <w:lang w:val="es-ES" w:eastAsia="es-ES"/>
              </w:rPr>
            </w:pPr>
            <w:r>
              <w:rPr>
                <w:lang w:val="es-ES" w:eastAsia="es-ES"/>
              </w:rPr>
              <w:t>Adiciones</w:t>
            </w:r>
          </w:p>
        </w:tc>
        <w:tc>
          <w:tcPr>
            <w:tcW w:w="2245" w:type="dxa"/>
          </w:tcPr>
          <w:p w:rsidR="00425FF4" w:rsidRDefault="00425FF4" w:rsidP="00B212CE">
            <w:pPr>
              <w:jc w:val="center"/>
              <w:rPr>
                <w:lang w:val="es-ES" w:eastAsia="es-ES"/>
              </w:rPr>
            </w:pPr>
            <w:r>
              <w:rPr>
                <w:lang w:val="es-ES" w:eastAsia="es-ES"/>
              </w:rPr>
              <w:t>Presupuesto Definitivo</w:t>
            </w:r>
          </w:p>
        </w:tc>
        <w:tc>
          <w:tcPr>
            <w:tcW w:w="2245" w:type="dxa"/>
          </w:tcPr>
          <w:p w:rsidR="00425FF4" w:rsidRDefault="00425FF4" w:rsidP="00B212CE">
            <w:pPr>
              <w:jc w:val="center"/>
              <w:rPr>
                <w:lang w:val="es-ES" w:eastAsia="es-ES"/>
              </w:rPr>
            </w:pPr>
            <w:r>
              <w:rPr>
                <w:lang w:val="es-ES" w:eastAsia="es-ES"/>
              </w:rPr>
              <w:t>Total Comprometido</w:t>
            </w:r>
          </w:p>
        </w:tc>
      </w:tr>
      <w:tr w:rsidR="00425FF4" w:rsidTr="00425FF4">
        <w:tc>
          <w:tcPr>
            <w:tcW w:w="2245" w:type="dxa"/>
          </w:tcPr>
          <w:p w:rsidR="00425FF4" w:rsidRDefault="00425FF4" w:rsidP="002F508E">
            <w:pPr>
              <w:jc w:val="right"/>
              <w:rPr>
                <w:lang w:val="es-ES" w:eastAsia="es-ES"/>
              </w:rPr>
            </w:pPr>
            <w:r>
              <w:rPr>
                <w:lang w:val="es-ES" w:eastAsia="es-ES"/>
              </w:rPr>
              <w:t>$</w:t>
            </w:r>
            <w:r w:rsidR="009A2DAC">
              <w:rPr>
                <w:lang w:val="es-ES" w:eastAsia="es-ES"/>
              </w:rPr>
              <w:t>7</w:t>
            </w:r>
            <w:r w:rsidR="002F508E">
              <w:rPr>
                <w:lang w:val="es-ES" w:eastAsia="es-ES"/>
              </w:rPr>
              <w:t>9</w:t>
            </w:r>
            <w:r w:rsidR="009A2DAC">
              <w:rPr>
                <w:lang w:val="es-ES" w:eastAsia="es-ES"/>
              </w:rPr>
              <w:t>.0</w:t>
            </w:r>
            <w:r w:rsidR="002F508E">
              <w:rPr>
                <w:lang w:val="es-ES" w:eastAsia="es-ES"/>
              </w:rPr>
              <w:t>0</w:t>
            </w:r>
            <w:r w:rsidR="009A2DAC">
              <w:rPr>
                <w:lang w:val="es-ES" w:eastAsia="es-ES"/>
              </w:rPr>
              <w:t>0.000</w:t>
            </w:r>
          </w:p>
        </w:tc>
        <w:tc>
          <w:tcPr>
            <w:tcW w:w="2245" w:type="dxa"/>
          </w:tcPr>
          <w:p w:rsidR="00425FF4" w:rsidRDefault="002F508E" w:rsidP="00425FF4">
            <w:pPr>
              <w:jc w:val="right"/>
              <w:rPr>
                <w:lang w:val="es-ES" w:eastAsia="es-ES"/>
              </w:rPr>
            </w:pPr>
            <w:r>
              <w:rPr>
                <w:lang w:val="es-ES" w:eastAsia="es-ES"/>
              </w:rPr>
              <w:t>$10.000.000</w:t>
            </w:r>
          </w:p>
        </w:tc>
        <w:tc>
          <w:tcPr>
            <w:tcW w:w="2245" w:type="dxa"/>
          </w:tcPr>
          <w:p w:rsidR="00425FF4" w:rsidRDefault="009A2DAC" w:rsidP="002F508E">
            <w:pPr>
              <w:jc w:val="right"/>
              <w:rPr>
                <w:lang w:val="es-ES" w:eastAsia="es-ES"/>
              </w:rPr>
            </w:pPr>
            <w:r>
              <w:rPr>
                <w:lang w:val="es-ES" w:eastAsia="es-ES"/>
              </w:rPr>
              <w:t>$</w:t>
            </w:r>
            <w:r w:rsidR="002F508E">
              <w:rPr>
                <w:lang w:val="es-ES" w:eastAsia="es-ES"/>
              </w:rPr>
              <w:t>8</w:t>
            </w:r>
            <w:r>
              <w:rPr>
                <w:lang w:val="es-ES" w:eastAsia="es-ES"/>
              </w:rPr>
              <w:t>9.0</w:t>
            </w:r>
            <w:r w:rsidR="002F508E">
              <w:rPr>
                <w:lang w:val="es-ES" w:eastAsia="es-ES"/>
              </w:rPr>
              <w:t>0</w:t>
            </w:r>
            <w:r>
              <w:rPr>
                <w:lang w:val="es-ES" w:eastAsia="es-ES"/>
              </w:rPr>
              <w:t>0.000</w:t>
            </w:r>
          </w:p>
        </w:tc>
        <w:tc>
          <w:tcPr>
            <w:tcW w:w="2245" w:type="dxa"/>
          </w:tcPr>
          <w:p w:rsidR="009A2DAC" w:rsidRDefault="009A2DAC" w:rsidP="009A2DAC">
            <w:pPr>
              <w:jc w:val="right"/>
            </w:pPr>
            <w:r>
              <w:t xml:space="preserve">             $</w:t>
            </w:r>
            <w:r w:rsidR="002F508E">
              <w:t>8</w:t>
            </w:r>
            <w:r>
              <w:t>9</w:t>
            </w:r>
            <w:r w:rsidR="002F508E">
              <w:t>.000.0</w:t>
            </w:r>
            <w:r>
              <w:t xml:space="preserve">00 </w:t>
            </w:r>
          </w:p>
          <w:p w:rsidR="00425FF4" w:rsidRDefault="00425FF4" w:rsidP="00425FF4">
            <w:pPr>
              <w:jc w:val="right"/>
              <w:rPr>
                <w:lang w:val="es-ES" w:eastAsia="es-ES"/>
              </w:rPr>
            </w:pPr>
          </w:p>
        </w:tc>
      </w:tr>
    </w:tbl>
    <w:p w:rsidR="00B212CE" w:rsidRPr="00776215" w:rsidRDefault="00B212CE" w:rsidP="00B212CE">
      <w:pPr>
        <w:jc w:val="center"/>
        <w:rPr>
          <w:rFonts w:ascii="Tahoma" w:hAnsi="Tahoma" w:cs="Tahoma"/>
          <w:lang w:val="es-ES" w:eastAsia="es-ES"/>
        </w:rPr>
      </w:pPr>
    </w:p>
    <w:p w:rsidR="0018047C" w:rsidRDefault="0018047C" w:rsidP="00B212CE">
      <w:pPr>
        <w:spacing w:before="0" w:after="0"/>
        <w:jc w:val="center"/>
        <w:rPr>
          <w:rFonts w:ascii="Tahoma" w:hAnsi="Tahoma" w:cs="Tahoma"/>
          <w:b/>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B212CE" w:rsidRPr="00776215" w:rsidRDefault="008C7A2F" w:rsidP="008C7A2F">
      <w:pPr>
        <w:rPr>
          <w:rFonts w:ascii="Tahoma" w:hAnsi="Tahoma" w:cs="Tahoma"/>
          <w:b/>
          <w:lang w:val="es-ES" w:eastAsia="es-ES"/>
        </w:rPr>
      </w:pPr>
      <w:r w:rsidRPr="00776215">
        <w:rPr>
          <w:rFonts w:ascii="Tahoma" w:hAnsi="Tahoma" w:cs="Tahoma"/>
          <w:b/>
          <w:lang w:val="es-ES" w:eastAsia="es-ES"/>
        </w:rPr>
        <w:t xml:space="preserve">4.1  </w:t>
      </w:r>
      <w:r w:rsidR="00B212CE" w:rsidRPr="00776215">
        <w:rPr>
          <w:rFonts w:ascii="Tahoma" w:hAnsi="Tahoma" w:cs="Tahoma"/>
          <w:b/>
          <w:lang w:val="es-ES" w:eastAsia="es-ES"/>
        </w:rPr>
        <w:t>RESULTADO DEL ANALISIS</w:t>
      </w:r>
      <w:r w:rsidRPr="00776215">
        <w:rPr>
          <w:rFonts w:ascii="Tahoma" w:hAnsi="Tahoma" w:cs="Tahoma"/>
          <w:b/>
          <w:lang w:val="es-ES" w:eastAsia="es-ES"/>
        </w:rPr>
        <w:t xml:space="preserve"> INDICADOR LEY 617 DE 2000</w:t>
      </w:r>
    </w:p>
    <w:p w:rsidR="00BD4C82" w:rsidRDefault="00B212CE" w:rsidP="00776215">
      <w:pPr>
        <w:jc w:val="both"/>
      </w:pPr>
      <w:r w:rsidRPr="00776215">
        <w:rPr>
          <w:rFonts w:ascii="Tahoma" w:hAnsi="Tahoma" w:cs="Tahoma"/>
        </w:rPr>
        <w:t xml:space="preserve">Como resultado de la evaluación realizada por La Contraloría </w:t>
      </w:r>
      <w:r w:rsidR="00F344D5" w:rsidRPr="00776215">
        <w:rPr>
          <w:rFonts w:ascii="Tahoma" w:hAnsi="Tahoma" w:cs="Tahoma"/>
        </w:rPr>
        <w:t>Departamental del Tolima</w:t>
      </w:r>
      <w:r w:rsidRPr="00776215">
        <w:rPr>
          <w:rFonts w:ascii="Tahoma" w:hAnsi="Tahoma" w:cs="Tahoma"/>
        </w:rPr>
        <w:t xml:space="preserve">, se estableció que el </w:t>
      </w:r>
      <w:r w:rsidR="00F344D5" w:rsidRPr="00776215">
        <w:rPr>
          <w:rFonts w:ascii="Tahoma" w:hAnsi="Tahoma" w:cs="Tahoma"/>
        </w:rPr>
        <w:t>M</w:t>
      </w:r>
      <w:r w:rsidRPr="00776215">
        <w:rPr>
          <w:rFonts w:ascii="Tahoma" w:hAnsi="Tahoma" w:cs="Tahoma"/>
        </w:rPr>
        <w:t xml:space="preserve">unicipio de </w:t>
      </w:r>
      <w:r w:rsidR="0018047C">
        <w:rPr>
          <w:rFonts w:ascii="Tahoma" w:hAnsi="Tahoma" w:cs="Tahoma"/>
        </w:rPr>
        <w:t>Casabianca</w:t>
      </w:r>
      <w:r w:rsidR="00F344D5" w:rsidRPr="00776215">
        <w:rPr>
          <w:rFonts w:ascii="Tahoma" w:hAnsi="Tahoma" w:cs="Tahoma"/>
        </w:rPr>
        <w:t xml:space="preserve"> Tolima, </w:t>
      </w:r>
      <w:r w:rsidRPr="00776215">
        <w:rPr>
          <w:rFonts w:ascii="Tahoma" w:hAnsi="Tahoma" w:cs="Tahoma"/>
        </w:rPr>
        <w:t xml:space="preserve">ha venido cumpliendo con el indicador de ley 617 de 2000 </w:t>
      </w:r>
      <w:r w:rsidR="00D534DF" w:rsidRPr="00776215">
        <w:rPr>
          <w:rFonts w:ascii="Tahoma" w:hAnsi="Tahoma" w:cs="Tahoma"/>
        </w:rPr>
        <w:t>en las últimas dos vigencias</w:t>
      </w:r>
      <w:r w:rsidR="00CA6D9C" w:rsidRPr="00776215">
        <w:rPr>
          <w:rFonts w:ascii="Tahoma" w:hAnsi="Tahoma" w:cs="Tahoma"/>
        </w:rPr>
        <w:t xml:space="preserve"> y el indicador</w:t>
      </w:r>
      <w:r w:rsidR="00C020AF">
        <w:rPr>
          <w:rFonts w:ascii="Tahoma" w:hAnsi="Tahoma" w:cs="Tahoma"/>
        </w:rPr>
        <w:t xml:space="preserve"> de Gastos de Funcionamiento aumentó</w:t>
      </w:r>
      <w:r w:rsidR="00CA6D9C" w:rsidRPr="00776215">
        <w:rPr>
          <w:rFonts w:ascii="Tahoma" w:hAnsi="Tahoma" w:cs="Tahoma"/>
        </w:rPr>
        <w:t xml:space="preserve"> en un </w:t>
      </w:r>
      <w:r w:rsidR="00861849">
        <w:rPr>
          <w:rFonts w:ascii="Tahoma" w:hAnsi="Tahoma" w:cs="Tahoma"/>
        </w:rPr>
        <w:t>13.73</w:t>
      </w:r>
      <w:r w:rsidR="00CA6D9C" w:rsidRPr="00776215">
        <w:rPr>
          <w:rFonts w:ascii="Tahoma" w:hAnsi="Tahoma" w:cs="Tahoma"/>
        </w:rPr>
        <w:t>% en relación a la vigencia 2014</w:t>
      </w:r>
      <w:r w:rsidR="00CD2736">
        <w:rPr>
          <w:rFonts w:ascii="Tahoma" w:hAnsi="Tahoma" w:cs="Tahoma"/>
        </w:rPr>
        <w:t xml:space="preserve">, </w:t>
      </w:r>
      <w:r w:rsidR="00D534DF" w:rsidRPr="00776215">
        <w:rPr>
          <w:rFonts w:ascii="Tahoma" w:hAnsi="Tahoma" w:cs="Tahoma"/>
        </w:rPr>
        <w:t>como se evidencia a continuación</w:t>
      </w:r>
      <w:r w:rsidR="00D534DF">
        <w:t>:</w:t>
      </w:r>
    </w:p>
    <w:p w:rsidR="00CA76CA" w:rsidRDefault="00CA76CA" w:rsidP="00776215">
      <w:pPr>
        <w:jc w:val="both"/>
      </w:pPr>
    </w:p>
    <w:tbl>
      <w:tblPr>
        <w:tblW w:w="6986" w:type="dxa"/>
        <w:jc w:val="center"/>
        <w:tblCellMar>
          <w:left w:w="70" w:type="dxa"/>
          <w:right w:w="70" w:type="dxa"/>
        </w:tblCellMar>
        <w:tblLook w:val="04A0" w:firstRow="1" w:lastRow="0" w:firstColumn="1" w:lastColumn="0" w:noHBand="0" w:noVBand="1"/>
      </w:tblPr>
      <w:tblGrid>
        <w:gridCol w:w="3609"/>
        <w:gridCol w:w="1622"/>
        <w:gridCol w:w="1755"/>
      </w:tblGrid>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b/>
                <w:bCs/>
                <w:color w:val="auto"/>
                <w:sz w:val="20"/>
                <w:szCs w:val="20"/>
              </w:rPr>
            </w:pPr>
            <w:r w:rsidRPr="00FF4F90">
              <w:rPr>
                <w:rFonts w:eastAsia="Times New Roman"/>
                <w:b/>
                <w:bCs/>
                <w:color w:val="auto"/>
                <w:sz w:val="20"/>
                <w:szCs w:val="20"/>
              </w:rPr>
              <w:t>EVALUACIÓN DE GASTOS DE FUNCIONAMIENTO</w:t>
            </w:r>
          </w:p>
        </w:tc>
      </w:tr>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20"/>
                <w:szCs w:val="20"/>
              </w:rPr>
            </w:pPr>
            <w:r w:rsidRPr="00FF4F90">
              <w:rPr>
                <w:rFonts w:eastAsia="Times New Roman"/>
                <w:color w:val="auto"/>
                <w:sz w:val="20"/>
                <w:szCs w:val="20"/>
              </w:rPr>
              <w:t>ADMINISTRACIÓN CENTRAL</w:t>
            </w:r>
          </w:p>
        </w:tc>
      </w:tr>
      <w:tr w:rsidR="00FF4F90" w:rsidRPr="00FF4F90" w:rsidTr="00231ECA">
        <w:trPr>
          <w:trHeight w:val="264"/>
          <w:jc w:val="center"/>
        </w:trPr>
        <w:tc>
          <w:tcPr>
            <w:tcW w:w="69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18047C">
            <w:pPr>
              <w:spacing w:before="0" w:after="0"/>
              <w:jc w:val="center"/>
              <w:rPr>
                <w:rFonts w:eastAsia="Times New Roman"/>
                <w:b/>
                <w:bCs/>
                <w:color w:val="auto"/>
                <w:sz w:val="20"/>
                <w:szCs w:val="20"/>
              </w:rPr>
            </w:pPr>
            <w:r w:rsidRPr="00FF4F90">
              <w:rPr>
                <w:rFonts w:eastAsia="Times New Roman"/>
                <w:b/>
                <w:bCs/>
                <w:color w:val="auto"/>
                <w:sz w:val="20"/>
                <w:szCs w:val="20"/>
              </w:rPr>
              <w:t xml:space="preserve">MUNICIPIO DE </w:t>
            </w:r>
            <w:r w:rsidR="0018047C">
              <w:rPr>
                <w:rFonts w:eastAsia="Times New Roman"/>
                <w:b/>
                <w:bCs/>
                <w:color w:val="auto"/>
                <w:sz w:val="20"/>
                <w:szCs w:val="20"/>
              </w:rPr>
              <w:t>CASABIANCA</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 </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bCs/>
                <w:color w:val="auto"/>
                <w:sz w:val="18"/>
                <w:szCs w:val="18"/>
              </w:rPr>
            </w:pPr>
            <w:r w:rsidRPr="00FF4F90">
              <w:rPr>
                <w:rFonts w:eastAsia="Times New Roman"/>
                <w:b/>
                <w:bCs/>
                <w:color w:val="auto"/>
                <w:sz w:val="18"/>
                <w:szCs w:val="18"/>
              </w:rPr>
              <w:t xml:space="preserve"> VIGENCIA 2014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bCs/>
                <w:color w:val="auto"/>
                <w:sz w:val="18"/>
                <w:szCs w:val="18"/>
              </w:rPr>
            </w:pPr>
            <w:r w:rsidRPr="00FF4F90">
              <w:rPr>
                <w:rFonts w:eastAsia="Times New Roman"/>
                <w:b/>
                <w:bCs/>
                <w:color w:val="auto"/>
                <w:sz w:val="18"/>
                <w:szCs w:val="18"/>
              </w:rPr>
              <w:t xml:space="preserve"> VIGENCIA 2015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DETALLE</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18"/>
                <w:szCs w:val="18"/>
              </w:rPr>
            </w:pPr>
            <w:r w:rsidRPr="00FF4F90">
              <w:rPr>
                <w:rFonts w:eastAsia="Times New Roman"/>
                <w:color w:val="auto"/>
                <w:sz w:val="18"/>
                <w:szCs w:val="18"/>
              </w:rPr>
              <w:t xml:space="preserve"> VALOR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jc w:val="center"/>
              <w:rPr>
                <w:rFonts w:eastAsia="Times New Roman"/>
                <w:color w:val="auto"/>
                <w:sz w:val="18"/>
                <w:szCs w:val="18"/>
              </w:rPr>
            </w:pPr>
            <w:r w:rsidRPr="00FF4F90">
              <w:rPr>
                <w:rFonts w:eastAsia="Times New Roman"/>
                <w:color w:val="auto"/>
                <w:sz w:val="18"/>
                <w:szCs w:val="18"/>
              </w:rPr>
              <w:t xml:space="preserve"> VALOR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18047C">
            <w:pPr>
              <w:spacing w:before="0" w:after="0"/>
              <w:jc w:val="right"/>
              <w:rPr>
                <w:rFonts w:eastAsia="Times New Roman"/>
                <w:color w:val="auto"/>
                <w:sz w:val="20"/>
                <w:szCs w:val="20"/>
              </w:rPr>
            </w:pPr>
            <w:r w:rsidRPr="00FF4F90">
              <w:rPr>
                <w:rFonts w:eastAsia="Times New Roman"/>
                <w:color w:val="auto"/>
                <w:sz w:val="20"/>
                <w:szCs w:val="20"/>
              </w:rPr>
              <w:t xml:space="preserve">       </w:t>
            </w:r>
            <w:r w:rsidR="00E55115">
              <w:rPr>
                <w:rFonts w:eastAsia="Times New Roman"/>
                <w:color w:val="auto"/>
                <w:sz w:val="20"/>
                <w:szCs w:val="20"/>
              </w:rPr>
              <w:t>$</w:t>
            </w:r>
            <w:r w:rsidR="0018047C">
              <w:rPr>
                <w:rFonts w:eastAsia="Times New Roman"/>
                <w:color w:val="auto"/>
                <w:sz w:val="20"/>
                <w:szCs w:val="20"/>
              </w:rPr>
              <w:t>951.046</w:t>
            </w:r>
            <w:r w:rsidRPr="00FF4F90">
              <w:rPr>
                <w:rFonts w:eastAsia="Times New Roman"/>
                <w:color w:val="auto"/>
                <w:sz w:val="20"/>
                <w:szCs w:val="20"/>
              </w:rPr>
              <w:t xml:space="preserve">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18047C">
            <w:pPr>
              <w:spacing w:before="0" w:after="0"/>
              <w:jc w:val="right"/>
              <w:rPr>
                <w:rFonts w:eastAsia="Times New Roman"/>
                <w:color w:val="auto"/>
                <w:sz w:val="18"/>
                <w:szCs w:val="18"/>
              </w:rPr>
            </w:pPr>
            <w:r w:rsidRPr="00FF4F90">
              <w:rPr>
                <w:rFonts w:eastAsia="Times New Roman"/>
                <w:color w:val="auto"/>
                <w:sz w:val="18"/>
                <w:szCs w:val="18"/>
              </w:rPr>
              <w:t xml:space="preserve">              </w:t>
            </w:r>
            <w:r w:rsidR="00E55115">
              <w:rPr>
                <w:rFonts w:eastAsia="Times New Roman"/>
                <w:color w:val="auto"/>
                <w:sz w:val="18"/>
                <w:szCs w:val="18"/>
              </w:rPr>
              <w:t>$</w:t>
            </w:r>
            <w:r w:rsidR="0018047C">
              <w:rPr>
                <w:rFonts w:eastAsia="Times New Roman"/>
                <w:color w:val="auto"/>
                <w:sz w:val="18"/>
                <w:szCs w:val="18"/>
              </w:rPr>
              <w:t>1.128.830</w:t>
            </w:r>
            <w:r w:rsidRPr="00FF4F90">
              <w:rPr>
                <w:rFonts w:eastAsia="Times New Roman"/>
                <w:color w:val="auto"/>
                <w:sz w:val="18"/>
                <w:szCs w:val="18"/>
              </w:rPr>
              <w:t xml:space="preserve"> </w:t>
            </w:r>
          </w:p>
        </w:tc>
      </w:tr>
      <w:tr w:rsidR="00FF4F90" w:rsidRPr="00FF4F90" w:rsidTr="00231ECA">
        <w:trPr>
          <w:trHeight w:val="528"/>
          <w:jc w:val="center"/>
        </w:trPr>
        <w:tc>
          <w:tcPr>
            <w:tcW w:w="3609" w:type="dxa"/>
            <w:tcBorders>
              <w:top w:val="nil"/>
              <w:left w:val="single" w:sz="4" w:space="0" w:color="auto"/>
              <w:bottom w:val="single" w:sz="4" w:space="0" w:color="auto"/>
              <w:right w:val="single" w:sz="4" w:space="0" w:color="auto"/>
            </w:tcBorders>
            <w:shd w:val="clear" w:color="auto" w:fill="auto"/>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 xml:space="preserve">GASTOS DE FUNCIONAMIENTO </w:t>
            </w:r>
            <w:r w:rsidRPr="00FF4F90">
              <w:rPr>
                <w:rFonts w:eastAsia="Times New Roman"/>
                <w:color w:val="auto"/>
                <w:sz w:val="20"/>
                <w:szCs w:val="20"/>
              </w:rPr>
              <w:br/>
              <w:t>BASE PARA EL INDICADOR</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E55115" w:rsidP="0018047C">
            <w:pPr>
              <w:spacing w:before="0" w:after="0"/>
              <w:jc w:val="right"/>
              <w:rPr>
                <w:rFonts w:eastAsia="Times New Roman"/>
                <w:color w:val="auto"/>
                <w:sz w:val="20"/>
                <w:szCs w:val="20"/>
              </w:rPr>
            </w:pPr>
            <w:r>
              <w:rPr>
                <w:rFonts w:eastAsia="Times New Roman"/>
                <w:color w:val="auto"/>
                <w:sz w:val="20"/>
                <w:szCs w:val="20"/>
              </w:rPr>
              <w:t xml:space="preserve">     $</w:t>
            </w:r>
            <w:r w:rsidR="0018047C">
              <w:rPr>
                <w:rFonts w:eastAsia="Times New Roman"/>
                <w:color w:val="auto"/>
                <w:sz w:val="20"/>
                <w:szCs w:val="20"/>
              </w:rPr>
              <w:t>468.972</w:t>
            </w:r>
            <w:r w:rsidR="00FF4F90" w:rsidRPr="00FF4F90">
              <w:rPr>
                <w:rFonts w:eastAsia="Times New Roman"/>
                <w:color w:val="auto"/>
                <w:sz w:val="20"/>
                <w:szCs w:val="20"/>
              </w:rPr>
              <w:t xml:space="preserve">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18047C">
            <w:pPr>
              <w:spacing w:before="0" w:after="0"/>
              <w:jc w:val="right"/>
              <w:rPr>
                <w:rFonts w:eastAsia="Times New Roman"/>
                <w:color w:val="auto"/>
                <w:sz w:val="18"/>
                <w:szCs w:val="18"/>
              </w:rPr>
            </w:pPr>
            <w:r w:rsidRPr="00FF4F90">
              <w:rPr>
                <w:rFonts w:eastAsia="Times New Roman"/>
                <w:color w:val="auto"/>
                <w:sz w:val="18"/>
                <w:szCs w:val="18"/>
              </w:rPr>
              <w:t xml:space="preserve">              </w:t>
            </w:r>
            <w:r w:rsidR="00E55115">
              <w:rPr>
                <w:rFonts w:eastAsia="Times New Roman"/>
                <w:color w:val="auto"/>
                <w:sz w:val="18"/>
                <w:szCs w:val="18"/>
              </w:rPr>
              <w:t>$</w:t>
            </w:r>
            <w:r w:rsidR="0018047C">
              <w:rPr>
                <w:rFonts w:eastAsia="Times New Roman"/>
                <w:color w:val="auto"/>
                <w:sz w:val="18"/>
                <w:szCs w:val="18"/>
              </w:rPr>
              <w:t>711.608</w:t>
            </w:r>
            <w:r w:rsidRPr="00FF4F90">
              <w:rPr>
                <w:rFonts w:eastAsia="Times New Roman"/>
                <w:color w:val="auto"/>
                <w:sz w:val="18"/>
                <w:szCs w:val="18"/>
              </w:rPr>
              <w:t xml:space="preserve">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LÍMITE DE GASTOS % GF/ICLD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20"/>
                <w:szCs w:val="20"/>
              </w:rPr>
            </w:pPr>
            <w:r w:rsidRPr="00FF4F90">
              <w:rPr>
                <w:rFonts w:eastAsia="Times New Roman"/>
                <w:color w:val="auto"/>
                <w:sz w:val="20"/>
                <w:szCs w:val="20"/>
              </w:rPr>
              <w:t>80.00%</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E55115">
            <w:pPr>
              <w:spacing w:before="0" w:after="0"/>
              <w:jc w:val="right"/>
              <w:rPr>
                <w:rFonts w:eastAsia="Times New Roman"/>
                <w:color w:val="auto"/>
                <w:sz w:val="18"/>
                <w:szCs w:val="18"/>
              </w:rPr>
            </w:pPr>
            <w:r w:rsidRPr="00FF4F90">
              <w:rPr>
                <w:rFonts w:eastAsia="Times New Roman"/>
                <w:color w:val="auto"/>
                <w:sz w:val="18"/>
                <w:szCs w:val="18"/>
              </w:rPr>
              <w:t xml:space="preserve">                 80,00%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b/>
                <w:color w:val="auto"/>
                <w:sz w:val="20"/>
                <w:szCs w:val="20"/>
              </w:rPr>
            </w:pPr>
            <w:r w:rsidRPr="00FF4F90">
              <w:rPr>
                <w:rFonts w:eastAsia="Times New Roman"/>
                <w:b/>
                <w:color w:val="auto"/>
                <w:sz w:val="20"/>
                <w:szCs w:val="20"/>
              </w:rPr>
              <w:t>INDICADOR DE GF/ICLD</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18047C" w:rsidP="00E55115">
            <w:pPr>
              <w:spacing w:before="0" w:after="0"/>
              <w:jc w:val="right"/>
              <w:rPr>
                <w:rFonts w:eastAsia="Times New Roman"/>
                <w:b/>
                <w:color w:val="auto"/>
                <w:sz w:val="20"/>
                <w:szCs w:val="20"/>
              </w:rPr>
            </w:pPr>
            <w:r>
              <w:rPr>
                <w:rFonts w:eastAsia="Times New Roman"/>
                <w:b/>
                <w:color w:val="auto"/>
                <w:sz w:val="20"/>
                <w:szCs w:val="20"/>
              </w:rPr>
              <w:t>49.31</w:t>
            </w:r>
            <w:r w:rsidR="00FF4F90" w:rsidRPr="00FF4F90">
              <w:rPr>
                <w:rFonts w:eastAsia="Times New Roman"/>
                <w:b/>
                <w:color w:val="auto"/>
                <w:sz w:val="20"/>
                <w:szCs w:val="20"/>
              </w:rPr>
              <w:t>%</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18047C">
            <w:pPr>
              <w:spacing w:before="0" w:after="0"/>
              <w:jc w:val="right"/>
              <w:rPr>
                <w:rFonts w:eastAsia="Times New Roman"/>
                <w:b/>
                <w:color w:val="auto"/>
                <w:sz w:val="18"/>
                <w:szCs w:val="18"/>
              </w:rPr>
            </w:pPr>
            <w:r w:rsidRPr="00FF4F90">
              <w:rPr>
                <w:rFonts w:eastAsia="Times New Roman"/>
                <w:b/>
                <w:color w:val="auto"/>
                <w:sz w:val="18"/>
                <w:szCs w:val="18"/>
              </w:rPr>
              <w:t xml:space="preserve">                 </w:t>
            </w:r>
            <w:r w:rsidR="0018047C">
              <w:rPr>
                <w:rFonts w:eastAsia="Times New Roman"/>
                <w:b/>
                <w:color w:val="auto"/>
                <w:sz w:val="18"/>
                <w:szCs w:val="18"/>
              </w:rPr>
              <w:t>63.04</w:t>
            </w:r>
            <w:r w:rsidRPr="00FF4F90">
              <w:rPr>
                <w:rFonts w:eastAsia="Times New Roman"/>
                <w:b/>
                <w:color w:val="auto"/>
                <w:sz w:val="18"/>
                <w:szCs w:val="18"/>
              </w:rPr>
              <w:t xml:space="preserve">% </w:t>
            </w:r>
          </w:p>
        </w:tc>
      </w:tr>
      <w:tr w:rsidR="00FF4F90" w:rsidRPr="00FF4F90" w:rsidTr="00231ECA">
        <w:trPr>
          <w:trHeight w:val="264"/>
          <w:jc w:val="center"/>
        </w:trPr>
        <w:tc>
          <w:tcPr>
            <w:tcW w:w="3609" w:type="dxa"/>
            <w:tcBorders>
              <w:top w:val="nil"/>
              <w:left w:val="single" w:sz="4" w:space="0" w:color="auto"/>
              <w:bottom w:val="single" w:sz="4" w:space="0" w:color="auto"/>
              <w:right w:val="single" w:sz="4" w:space="0" w:color="auto"/>
            </w:tcBorders>
            <w:shd w:val="clear" w:color="auto" w:fill="auto"/>
            <w:noWrap/>
            <w:vAlign w:val="bottom"/>
            <w:hideMark/>
          </w:tcPr>
          <w:p w:rsidR="00FF4F90" w:rsidRPr="00FF4F90" w:rsidRDefault="00FF4F90" w:rsidP="00FF4F90">
            <w:pPr>
              <w:spacing w:before="0" w:after="0"/>
              <w:rPr>
                <w:rFonts w:eastAsia="Times New Roman"/>
                <w:color w:val="auto"/>
                <w:sz w:val="20"/>
                <w:szCs w:val="20"/>
              </w:rPr>
            </w:pPr>
            <w:r w:rsidRPr="00FF4F90">
              <w:rPr>
                <w:rFonts w:eastAsia="Times New Roman"/>
                <w:color w:val="auto"/>
                <w:sz w:val="20"/>
                <w:szCs w:val="20"/>
              </w:rPr>
              <w:t>ESTADO DEL INDICADOR</w:t>
            </w:r>
          </w:p>
        </w:tc>
        <w:tc>
          <w:tcPr>
            <w:tcW w:w="1622"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901C37">
            <w:pPr>
              <w:spacing w:before="0" w:after="0"/>
              <w:jc w:val="right"/>
              <w:rPr>
                <w:rFonts w:eastAsia="Times New Roman"/>
                <w:b/>
                <w:bCs/>
                <w:color w:val="auto"/>
                <w:sz w:val="18"/>
                <w:szCs w:val="18"/>
              </w:rPr>
            </w:pPr>
            <w:r w:rsidRPr="00FF4F90">
              <w:rPr>
                <w:rFonts w:eastAsia="Times New Roman"/>
                <w:b/>
                <w:bCs/>
                <w:color w:val="auto"/>
                <w:sz w:val="18"/>
                <w:szCs w:val="18"/>
              </w:rPr>
              <w:t xml:space="preserve"> CUMPLE </w:t>
            </w:r>
          </w:p>
        </w:tc>
        <w:tc>
          <w:tcPr>
            <w:tcW w:w="1755" w:type="dxa"/>
            <w:tcBorders>
              <w:top w:val="nil"/>
              <w:left w:val="nil"/>
              <w:bottom w:val="single" w:sz="4" w:space="0" w:color="auto"/>
              <w:right w:val="single" w:sz="4" w:space="0" w:color="auto"/>
            </w:tcBorders>
            <w:shd w:val="clear" w:color="auto" w:fill="auto"/>
            <w:noWrap/>
            <w:vAlign w:val="bottom"/>
            <w:hideMark/>
          </w:tcPr>
          <w:p w:rsidR="00FF4F90" w:rsidRPr="00FF4F90" w:rsidRDefault="00FF4F90" w:rsidP="00901C37">
            <w:pPr>
              <w:spacing w:before="0" w:after="0"/>
              <w:jc w:val="right"/>
              <w:rPr>
                <w:rFonts w:eastAsia="Times New Roman"/>
                <w:b/>
                <w:bCs/>
                <w:color w:val="auto"/>
                <w:sz w:val="18"/>
                <w:szCs w:val="18"/>
              </w:rPr>
            </w:pPr>
            <w:r w:rsidRPr="00FF4F90">
              <w:rPr>
                <w:rFonts w:eastAsia="Times New Roman"/>
                <w:b/>
                <w:bCs/>
                <w:color w:val="auto"/>
                <w:sz w:val="18"/>
                <w:szCs w:val="18"/>
              </w:rPr>
              <w:t xml:space="preserve"> CUMPLE </w:t>
            </w:r>
          </w:p>
        </w:tc>
      </w:tr>
    </w:tbl>
    <w:p w:rsidR="008C7A2F" w:rsidRDefault="008C7A2F" w:rsidP="00B212CE"/>
    <w:p w:rsidR="00477304" w:rsidRPr="00CA76CA" w:rsidRDefault="008C7A2F" w:rsidP="00B212CE">
      <w:pPr>
        <w:rPr>
          <w:rFonts w:ascii="Tahoma" w:hAnsi="Tahoma" w:cs="Tahoma"/>
          <w:b/>
        </w:rPr>
      </w:pPr>
      <w:r w:rsidRPr="00CA76CA">
        <w:rPr>
          <w:rFonts w:ascii="Tahoma" w:hAnsi="Tahoma" w:cs="Tahoma"/>
          <w:b/>
        </w:rPr>
        <w:t>4.2 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CD2736">
        <w:rPr>
          <w:rFonts w:ascii="Tahoma" w:hAnsi="Tahoma" w:cs="Tahoma"/>
        </w:rPr>
        <w:t>Casabianca</w:t>
      </w:r>
      <w:r w:rsidRPr="00CA76CA">
        <w:rPr>
          <w:rFonts w:ascii="Tahoma" w:hAnsi="Tahoma" w:cs="Tahoma"/>
        </w:rPr>
        <w:t xml:space="preserve"> Tolima</w:t>
      </w:r>
      <w:r w:rsidR="004F7914" w:rsidRPr="00CA76CA">
        <w:rPr>
          <w:rFonts w:ascii="Tahoma" w:hAnsi="Tahoma" w:cs="Tahoma"/>
        </w:rPr>
        <w:t xml:space="preserve"> 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523013">
        <w:rPr>
          <w:rFonts w:ascii="Tahoma" w:hAnsi="Tahoma" w:cs="Tahoma"/>
        </w:rPr>
        <w:t>Superávi</w:t>
      </w:r>
      <w:r w:rsidR="00523013" w:rsidRPr="00CA76CA">
        <w:rPr>
          <w:rFonts w:ascii="Tahoma" w:hAnsi="Tahoma" w:cs="Tahoma"/>
        </w:rPr>
        <w:t>t</w:t>
      </w:r>
      <w:r w:rsidR="004F7914" w:rsidRPr="00CA76CA">
        <w:rPr>
          <w:rFonts w:ascii="Tahoma" w:hAnsi="Tahoma" w:cs="Tahoma"/>
        </w:rPr>
        <w:t xml:space="preserve"> presupuestal en la suma de $</w:t>
      </w:r>
      <w:r w:rsidR="006C24A8">
        <w:rPr>
          <w:rFonts w:ascii="Tahoma" w:hAnsi="Tahoma" w:cs="Tahoma"/>
        </w:rPr>
        <w:t>160.384.118</w:t>
      </w:r>
      <w:r w:rsidR="004F7914" w:rsidRPr="00CA76CA">
        <w:rPr>
          <w:rFonts w:ascii="Tahoma" w:hAnsi="Tahoma" w:cs="Tahoma"/>
        </w:rPr>
        <w:t>.oo, toda vez que el Total de los Gastos comprometidos,  fueron m</w:t>
      </w:r>
      <w:r w:rsidR="006C24A8">
        <w:rPr>
          <w:rFonts w:ascii="Tahoma" w:hAnsi="Tahoma" w:cs="Tahoma"/>
        </w:rPr>
        <w:t>en</w:t>
      </w:r>
      <w:r w:rsidR="004F7914" w:rsidRPr="00CA76CA">
        <w:rPr>
          <w:rFonts w:ascii="Tahoma" w:hAnsi="Tahoma" w:cs="Tahoma"/>
        </w:rPr>
        <w:t>ores a los ingresos efectivamente recaudados.  Ver Tabla.</w:t>
      </w:r>
    </w:p>
    <w:p w:rsidR="008C7A2F" w:rsidRDefault="008C7A2F" w:rsidP="00B212CE"/>
    <w:tbl>
      <w:tblPr>
        <w:tblW w:w="6840" w:type="dxa"/>
        <w:jc w:val="center"/>
        <w:tblCellMar>
          <w:left w:w="70" w:type="dxa"/>
          <w:right w:w="70" w:type="dxa"/>
        </w:tblCellMar>
        <w:tblLook w:val="04A0" w:firstRow="1" w:lastRow="0" w:firstColumn="1" w:lastColumn="0" w:noHBand="0" w:noVBand="1"/>
      </w:tblPr>
      <w:tblGrid>
        <w:gridCol w:w="2480"/>
        <w:gridCol w:w="2200"/>
        <w:gridCol w:w="2160"/>
      </w:tblGrid>
      <w:tr w:rsidR="00F46E6A" w:rsidRPr="00F46E6A" w:rsidTr="00F46E6A">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6E6A" w:rsidRPr="00F46E6A" w:rsidRDefault="00F46E6A" w:rsidP="00F46E6A">
            <w:pPr>
              <w:spacing w:before="0" w:after="0"/>
              <w:jc w:val="center"/>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INGRESOS</w:t>
            </w:r>
            <w:r w:rsidRPr="00F46E6A">
              <w:rPr>
                <w:rFonts w:ascii="Tahoma" w:eastAsia="Times New Roman" w:hAnsi="Tahoma" w:cs="Tahoma"/>
                <w:color w:val="auto"/>
                <w:sz w:val="20"/>
                <w:szCs w:val="20"/>
              </w:rPr>
              <w:br/>
              <w:t xml:space="preserve">EFECTIVAMENTE RECAUDADOS </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F46E6A" w:rsidRPr="00F46E6A" w:rsidRDefault="00F46E6A" w:rsidP="00F46E6A">
            <w:pPr>
              <w:spacing w:before="0" w:after="0"/>
              <w:jc w:val="center"/>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GASTOS EFECTIVAMENTE COMPROMETIDOS </w:t>
            </w:r>
          </w:p>
        </w:tc>
        <w:tc>
          <w:tcPr>
            <w:tcW w:w="2160" w:type="dxa"/>
            <w:tcBorders>
              <w:top w:val="single" w:sz="4" w:space="0" w:color="auto"/>
              <w:left w:val="nil"/>
              <w:bottom w:val="single" w:sz="4" w:space="0" w:color="auto"/>
              <w:right w:val="single" w:sz="4" w:space="0" w:color="auto"/>
            </w:tcBorders>
            <w:shd w:val="clear" w:color="auto" w:fill="auto"/>
            <w:vAlign w:val="bottom"/>
            <w:hideMark/>
          </w:tcPr>
          <w:p w:rsidR="00F46E6A" w:rsidRPr="00F46E6A" w:rsidRDefault="00F46E6A" w:rsidP="00F46E6A">
            <w:pPr>
              <w:spacing w:before="0" w:after="0"/>
              <w:jc w:val="center"/>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DEFICIT  O  SUPERAVIT</w:t>
            </w:r>
            <w:r w:rsidRPr="00F46E6A">
              <w:rPr>
                <w:rFonts w:ascii="Tahoma" w:eastAsia="Times New Roman" w:hAnsi="Tahoma" w:cs="Tahoma"/>
                <w:color w:val="auto"/>
                <w:sz w:val="20"/>
                <w:szCs w:val="20"/>
              </w:rPr>
              <w:br/>
              <w:t xml:space="preserve">PRESUPUESTAL </w:t>
            </w:r>
          </w:p>
        </w:tc>
      </w:tr>
      <w:tr w:rsidR="00F46E6A" w:rsidRPr="00F46E6A" w:rsidTr="00F46E6A">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F46E6A" w:rsidRPr="00F46E6A" w:rsidRDefault="00F46E6A" w:rsidP="00CD2736">
            <w:pPr>
              <w:spacing w:before="0" w:after="0"/>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w:t>
            </w:r>
            <w:r w:rsidR="00CD2736">
              <w:rPr>
                <w:rFonts w:ascii="Tahoma" w:eastAsia="Times New Roman" w:hAnsi="Tahoma" w:cs="Tahoma"/>
                <w:color w:val="auto"/>
                <w:sz w:val="20"/>
                <w:szCs w:val="20"/>
              </w:rPr>
              <w:t xml:space="preserve">   </w:t>
            </w:r>
            <w:r w:rsidR="00ED6C00">
              <w:rPr>
                <w:rFonts w:ascii="Tahoma" w:eastAsia="Times New Roman" w:hAnsi="Tahoma" w:cs="Tahoma"/>
                <w:color w:val="auto"/>
                <w:sz w:val="20"/>
                <w:szCs w:val="20"/>
              </w:rPr>
              <w:t>$</w:t>
            </w:r>
            <w:r w:rsidR="00CD2736">
              <w:rPr>
                <w:rFonts w:ascii="Tahoma" w:eastAsia="Times New Roman" w:hAnsi="Tahoma" w:cs="Tahoma"/>
                <w:color w:val="auto"/>
                <w:sz w:val="20"/>
                <w:szCs w:val="20"/>
              </w:rPr>
              <w:t>11.518.872.443</w:t>
            </w:r>
            <w:r w:rsidRPr="00F46E6A">
              <w:rPr>
                <w:rFonts w:ascii="Tahoma" w:eastAsia="Times New Roman" w:hAnsi="Tahoma" w:cs="Tahoma"/>
                <w:color w:val="auto"/>
                <w:sz w:val="20"/>
                <w:szCs w:val="20"/>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rsidR="00F46E6A" w:rsidRPr="00F46E6A" w:rsidRDefault="00F46E6A" w:rsidP="00CD2736">
            <w:pPr>
              <w:spacing w:before="0" w:after="0"/>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w:t>
            </w:r>
            <w:r w:rsidR="00ED6C00">
              <w:rPr>
                <w:rFonts w:ascii="Tahoma" w:eastAsia="Times New Roman" w:hAnsi="Tahoma" w:cs="Tahoma"/>
                <w:color w:val="auto"/>
                <w:sz w:val="20"/>
                <w:szCs w:val="20"/>
              </w:rPr>
              <w:t>$</w:t>
            </w:r>
            <w:r w:rsidR="00CD2736">
              <w:rPr>
                <w:rFonts w:ascii="Tahoma" w:eastAsia="Times New Roman" w:hAnsi="Tahoma" w:cs="Tahoma"/>
                <w:color w:val="auto"/>
                <w:sz w:val="20"/>
                <w:szCs w:val="20"/>
              </w:rPr>
              <w:t>11.358.488.325</w:t>
            </w:r>
          </w:p>
        </w:tc>
        <w:tc>
          <w:tcPr>
            <w:tcW w:w="2160" w:type="dxa"/>
            <w:tcBorders>
              <w:top w:val="nil"/>
              <w:left w:val="nil"/>
              <w:bottom w:val="single" w:sz="4" w:space="0" w:color="auto"/>
              <w:right w:val="single" w:sz="4" w:space="0" w:color="auto"/>
            </w:tcBorders>
            <w:shd w:val="clear" w:color="auto" w:fill="auto"/>
            <w:noWrap/>
            <w:vAlign w:val="bottom"/>
            <w:hideMark/>
          </w:tcPr>
          <w:p w:rsidR="00F46E6A" w:rsidRPr="00F46E6A" w:rsidRDefault="00F46E6A" w:rsidP="00CD2736">
            <w:pPr>
              <w:spacing w:before="0" w:after="0"/>
              <w:rPr>
                <w:rFonts w:ascii="Tahoma" w:eastAsia="Times New Roman" w:hAnsi="Tahoma" w:cs="Tahoma"/>
                <w:color w:val="auto"/>
                <w:sz w:val="20"/>
                <w:szCs w:val="20"/>
              </w:rPr>
            </w:pPr>
            <w:r w:rsidRPr="00F46E6A">
              <w:rPr>
                <w:rFonts w:ascii="Tahoma" w:eastAsia="Times New Roman" w:hAnsi="Tahoma" w:cs="Tahoma"/>
                <w:color w:val="auto"/>
                <w:sz w:val="20"/>
                <w:szCs w:val="20"/>
              </w:rPr>
              <w:t xml:space="preserve">               </w:t>
            </w:r>
            <w:r w:rsidR="00ED6C00">
              <w:rPr>
                <w:rFonts w:ascii="Tahoma" w:eastAsia="Times New Roman" w:hAnsi="Tahoma" w:cs="Tahoma"/>
                <w:color w:val="auto"/>
                <w:sz w:val="20"/>
                <w:szCs w:val="20"/>
              </w:rPr>
              <w:t>$</w:t>
            </w:r>
            <w:r w:rsidR="00CD2736">
              <w:rPr>
                <w:rFonts w:ascii="Tahoma" w:eastAsia="Times New Roman" w:hAnsi="Tahoma" w:cs="Tahoma"/>
                <w:color w:val="auto"/>
                <w:sz w:val="20"/>
                <w:szCs w:val="20"/>
              </w:rPr>
              <w:t>160.384.118</w:t>
            </w:r>
          </w:p>
        </w:tc>
      </w:tr>
    </w:tbl>
    <w:p w:rsidR="00477304" w:rsidRDefault="00477304" w:rsidP="00B212CE"/>
    <w:p w:rsidR="004F7914" w:rsidRPr="00CA76CA" w:rsidRDefault="00BD4C82" w:rsidP="00CA76CA">
      <w:pPr>
        <w:jc w:val="both"/>
        <w:rPr>
          <w:rFonts w:ascii="Tahoma" w:hAnsi="Tahoma" w:cs="Tahoma"/>
        </w:rPr>
      </w:pPr>
      <w:r w:rsidRPr="00CA76CA">
        <w:rPr>
          <w:rFonts w:ascii="Tahoma" w:hAnsi="Tahoma" w:cs="Tahoma"/>
        </w:rPr>
        <w:lastRenderedPageBreak/>
        <w:t>El conocimiento oportuno y preciso de los resultados de la gestión de los recur</w:t>
      </w:r>
      <w:r w:rsidR="00523013">
        <w:rPr>
          <w:rFonts w:ascii="Tahoma" w:hAnsi="Tahoma" w:cs="Tahoma"/>
        </w:rPr>
        <w:t>sos públicos durante un período</w:t>
      </w:r>
      <w:r w:rsidRPr="00CA76CA">
        <w:rPr>
          <w:rFonts w:ascii="Tahoma" w:hAnsi="Tahoma" w:cs="Tahoma"/>
        </w:rPr>
        <w:t xml:space="preserve"> es indispensable</w:t>
      </w:r>
      <w:r w:rsidR="00523013">
        <w:rPr>
          <w:rFonts w:ascii="Tahoma" w:hAnsi="Tahoma" w:cs="Tahoma"/>
        </w:rPr>
        <w:t>,</w:t>
      </w:r>
      <w:r w:rsidRPr="00CA76CA">
        <w:rPr>
          <w:rFonts w:ascii="Tahoma" w:hAnsi="Tahoma" w:cs="Tahoma"/>
        </w:rPr>
        <w:t xml:space="preserv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p>
    <w:p w:rsidR="004F7914" w:rsidRPr="00CA76CA" w:rsidRDefault="004F7914" w:rsidP="00B212CE">
      <w:pPr>
        <w:rPr>
          <w:rFonts w:ascii="Tahoma" w:hAnsi="Tahoma" w:cs="Tahoma"/>
        </w:rPr>
      </w:pPr>
    </w:p>
    <w:p w:rsidR="008C00FD" w:rsidRDefault="00BD4C82" w:rsidP="00B212CE">
      <w:pPr>
        <w:rPr>
          <w:rFonts w:ascii="Tahoma" w:hAnsi="Tahoma" w:cs="Tahoma"/>
          <w:b/>
        </w:rPr>
      </w:pPr>
      <w:r w:rsidRPr="00CA76CA">
        <w:rPr>
          <w:rFonts w:ascii="Tahoma" w:hAnsi="Tahoma" w:cs="Tahoma"/>
          <w:b/>
        </w:rPr>
        <w:t>RECOMENDACIONES</w:t>
      </w:r>
    </w:p>
    <w:p w:rsidR="00F04E5D" w:rsidRPr="00CA76CA" w:rsidRDefault="00F04E5D" w:rsidP="00B212CE">
      <w:pPr>
        <w:rPr>
          <w:rFonts w:ascii="Tahoma" w:hAnsi="Tahoma" w:cs="Tahoma"/>
          <w:b/>
        </w:rPr>
      </w:pPr>
    </w:p>
    <w:p w:rsidR="00FE1BB9" w:rsidRPr="00CA76CA" w:rsidRDefault="00C97A0F" w:rsidP="00D51763">
      <w:pPr>
        <w:jc w:val="both"/>
        <w:rPr>
          <w:rFonts w:ascii="Tahoma" w:hAnsi="Tahoma" w:cs="Tahoma"/>
        </w:rPr>
      </w:pPr>
      <w:r>
        <w:rPr>
          <w:rFonts w:ascii="Tahoma" w:hAnsi="Tahoma" w:cs="Tahoma"/>
        </w:rPr>
        <w:t xml:space="preserve">A pesar del cumplimiento del indicador de Ley 617 de 2000, el Municipio de Casabianca NO cumplió con las transferencias al Concejo Municipal, ya que </w:t>
      </w:r>
      <w:r w:rsidR="00F04E5D">
        <w:rPr>
          <w:rFonts w:ascii="Tahoma" w:hAnsi="Tahoma" w:cs="Tahoma"/>
        </w:rPr>
        <w:t xml:space="preserve">le </w:t>
      </w:r>
      <w:r>
        <w:rPr>
          <w:rFonts w:ascii="Tahoma" w:hAnsi="Tahoma" w:cs="Tahoma"/>
        </w:rPr>
        <w:t xml:space="preserve">transfirió un mayor valor </w:t>
      </w:r>
      <w:r w:rsidR="00F04E5D">
        <w:rPr>
          <w:rFonts w:ascii="Tahoma" w:hAnsi="Tahoma" w:cs="Tahoma"/>
        </w:rPr>
        <w:t>para gastos de funcionamiento;</w:t>
      </w:r>
      <w:r>
        <w:rPr>
          <w:rFonts w:ascii="Tahoma" w:hAnsi="Tahoma" w:cs="Tahoma"/>
        </w:rPr>
        <w:t xml:space="preserve"> por ende s</w:t>
      </w:r>
      <w:r w:rsidR="00D51763" w:rsidRPr="00CA76CA">
        <w:rPr>
          <w:rFonts w:ascii="Tahoma" w:hAnsi="Tahoma" w:cs="Tahoma"/>
        </w:rPr>
        <w:t xml:space="preserve">e recomienda hacer </w:t>
      </w:r>
      <w:r w:rsidR="00FE1BB9" w:rsidRPr="00CA76CA">
        <w:rPr>
          <w:rFonts w:ascii="Tahoma" w:hAnsi="Tahoma" w:cs="Tahoma"/>
        </w:rPr>
        <w:t xml:space="preserve">una mejor planeación, </w:t>
      </w:r>
      <w:r w:rsidR="00F04E5D">
        <w:rPr>
          <w:rFonts w:ascii="Tahoma" w:hAnsi="Tahoma" w:cs="Tahoma"/>
        </w:rPr>
        <w:t>transferir única y exclusivamente los recursos establecidos en la Ley 617 de 2000, disminuir los gastos de funcionamiento con el fin de mejorar los indicadores financieros y mostrar una mejor eficiencia administrativa.</w:t>
      </w:r>
    </w:p>
    <w:p w:rsidR="005C0DCB" w:rsidRDefault="005C0DCB" w:rsidP="005C0DCB">
      <w:pPr>
        <w:spacing w:before="0" w:after="0" w:line="228" w:lineRule="auto"/>
        <w:jc w:val="both"/>
      </w:pPr>
    </w:p>
    <w:p w:rsidR="005C0DCB" w:rsidRDefault="005C0DCB" w:rsidP="005C0DCB">
      <w:pPr>
        <w:tabs>
          <w:tab w:val="left" w:pos="6480"/>
        </w:tabs>
        <w:spacing w:before="0" w:after="0" w:line="228" w:lineRule="auto"/>
        <w:rPr>
          <w:rFonts w:ascii="Tahoma" w:hAnsi="Tahoma" w:cs="Tahoma"/>
          <w:b/>
          <w:sz w:val="16"/>
        </w:rPr>
      </w:pPr>
      <w:r>
        <w:rPr>
          <w:rFonts w:ascii="Tahoma" w:hAnsi="Tahoma" w:cs="Tahoma"/>
          <w:b/>
          <w:sz w:val="16"/>
        </w:rPr>
        <w:tab/>
      </w:r>
    </w:p>
    <w:sectPr w:rsidR="005C0DCB" w:rsidSect="00E566A8">
      <w:headerReference w:type="default" r:id="rId22"/>
      <w:footerReference w:type="default" r:id="rId23"/>
      <w:pgSz w:w="12242" w:h="15842" w:code="1"/>
      <w:pgMar w:top="2268" w:right="1701" w:bottom="2836"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121" w:rsidRDefault="007D4121" w:rsidP="00650A99">
      <w:r>
        <w:separator/>
      </w:r>
    </w:p>
  </w:endnote>
  <w:endnote w:type="continuationSeparator" w:id="0">
    <w:p w:rsidR="007D4121" w:rsidRDefault="007D4121"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BC" w:rsidRPr="00070555" w:rsidRDefault="00DC2BBC">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3C7B4A50" wp14:editId="60DEA3D8">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DC2BBC" w:rsidRDefault="00DC2BBC"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DC2BBC" w:rsidRDefault="00DC2BBC"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DC2BBC" w:rsidRPr="00BB3D88" w:rsidRDefault="00DC2BBC"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DC2BBC" w:rsidRPr="003205FF" w:rsidRDefault="00DE4DEF"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DC2BBC" w:rsidRPr="003205FF">
                              <w:rPr>
                                <w:rStyle w:val="Hipervnculo"/>
                                <w:rFonts w:ascii="Tahoma" w:hAnsi="Tahoma" w:cs="Tahoma"/>
                                <w:color w:val="auto"/>
                                <w:sz w:val="18"/>
                                <w:szCs w:val="18"/>
                                <w:u w:val="none"/>
                              </w:rPr>
                              <w:t>despacho.contraloria@contraloriatolima.gov.co</w:t>
                            </w:r>
                          </w:hyperlink>
                        </w:p>
                        <w:p w:rsidR="00DC2BBC" w:rsidRPr="000352F0" w:rsidRDefault="00DC2BBC"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DC2BBC" w:rsidRPr="00BB3D88" w:rsidRDefault="00DC2BBC"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DC2BBC" w:rsidRPr="00A926CE" w:rsidRDefault="00DC2BBC"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B4A50"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DC2BBC" w:rsidRDefault="00DC2BBC"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DC2BBC" w:rsidRDefault="00DC2BBC"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DC2BBC" w:rsidRPr="00BB3D88" w:rsidRDefault="00DC2BBC"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DC2BBC" w:rsidRPr="003205FF" w:rsidRDefault="00DE4DEF"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DC2BBC" w:rsidRPr="003205FF">
                        <w:rPr>
                          <w:rStyle w:val="Hipervnculo"/>
                          <w:rFonts w:ascii="Tahoma" w:hAnsi="Tahoma" w:cs="Tahoma"/>
                          <w:color w:val="auto"/>
                          <w:sz w:val="18"/>
                          <w:szCs w:val="18"/>
                          <w:u w:val="none"/>
                        </w:rPr>
                        <w:t>despacho.contraloria@contraloriatolima.gov.co</w:t>
                      </w:r>
                    </w:hyperlink>
                  </w:p>
                  <w:p w:rsidR="00DC2BBC" w:rsidRPr="000352F0" w:rsidRDefault="00DC2BBC"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DC2BBC" w:rsidRPr="00BB3D88" w:rsidRDefault="00DC2BBC"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DC2BBC" w:rsidRPr="00A926CE" w:rsidRDefault="00DC2BBC"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58408BEE" wp14:editId="3F4509F8">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DC2BBC" w:rsidRPr="003205FF" w:rsidRDefault="00DC2BBC"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DE4DEF" w:rsidRPr="00DE4DEF">
                            <w:rPr>
                              <w:rFonts w:ascii="Tahoma" w:hAnsi="Tahoma" w:cs="Tahoma"/>
                              <w:noProof/>
                              <w:sz w:val="14"/>
                              <w:szCs w:val="16"/>
                              <w:lang w:val="es-ES"/>
                            </w:rPr>
                            <w:t>10</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DE4DEF" w:rsidRPr="00DE4DEF">
                            <w:rPr>
                              <w:rFonts w:ascii="Tahoma" w:hAnsi="Tahoma" w:cs="Tahoma"/>
                              <w:noProof/>
                              <w:sz w:val="14"/>
                              <w:szCs w:val="16"/>
                              <w:lang w:val="es-ES"/>
                            </w:rPr>
                            <w:t>17</w:t>
                          </w:r>
                          <w:r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08BEE"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DC2BBC" w:rsidRPr="003205FF" w:rsidRDefault="00DC2BBC"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DE4DEF" w:rsidRPr="00DE4DEF">
                      <w:rPr>
                        <w:rFonts w:ascii="Tahoma" w:hAnsi="Tahoma" w:cs="Tahoma"/>
                        <w:noProof/>
                        <w:sz w:val="14"/>
                        <w:szCs w:val="16"/>
                        <w:lang w:val="es-ES"/>
                      </w:rPr>
                      <w:t>10</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Pr="003205FF">
                      <w:rPr>
                        <w:rFonts w:ascii="Tahoma" w:hAnsi="Tahoma" w:cs="Tahoma"/>
                        <w:sz w:val="14"/>
                        <w:szCs w:val="16"/>
                      </w:rPr>
                      <w:fldChar w:fldCharType="begin"/>
                    </w:r>
                    <w:r w:rsidRPr="003205FF">
                      <w:rPr>
                        <w:rFonts w:ascii="Tahoma" w:hAnsi="Tahoma" w:cs="Tahoma"/>
                        <w:sz w:val="14"/>
                        <w:szCs w:val="16"/>
                      </w:rPr>
                      <w:instrText>NUMPAGES  \* Arabic  \* MERGEFORMAT</w:instrText>
                    </w:r>
                    <w:r w:rsidRPr="003205FF">
                      <w:rPr>
                        <w:rFonts w:ascii="Tahoma" w:hAnsi="Tahoma" w:cs="Tahoma"/>
                        <w:sz w:val="14"/>
                        <w:szCs w:val="16"/>
                      </w:rPr>
                      <w:fldChar w:fldCharType="separate"/>
                    </w:r>
                    <w:r w:rsidR="00DE4DEF" w:rsidRPr="00DE4DEF">
                      <w:rPr>
                        <w:rFonts w:ascii="Tahoma" w:hAnsi="Tahoma" w:cs="Tahoma"/>
                        <w:noProof/>
                        <w:sz w:val="14"/>
                        <w:szCs w:val="16"/>
                        <w:lang w:val="es-ES"/>
                      </w:rPr>
                      <w:t>17</w:t>
                    </w:r>
                    <w:r w:rsidRPr="003205FF">
                      <w:rPr>
                        <w:rFonts w:ascii="Tahoma" w:hAnsi="Tahoma" w:cs="Tahoma"/>
                        <w:sz w:val="14"/>
                        <w:szCs w:val="16"/>
                      </w:rPr>
                      <w:fldChar w:fldCharType="end"/>
                    </w:r>
                  </w:p>
                </w:txbxContent>
              </v:textbox>
            </v:shape>
          </w:pict>
        </mc:Fallback>
      </mc:AlternateContent>
    </w:r>
  </w:p>
  <w:p w:rsidR="00DC2BBC" w:rsidRPr="00070555" w:rsidRDefault="00DC2BBC">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121" w:rsidRDefault="007D4121" w:rsidP="00650A99">
      <w:r>
        <w:separator/>
      </w:r>
    </w:p>
  </w:footnote>
  <w:footnote w:type="continuationSeparator" w:id="0">
    <w:p w:rsidR="007D4121" w:rsidRDefault="007D4121"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BC" w:rsidRPr="00124F58" w:rsidRDefault="00DC2BBC">
    <w:pPr>
      <w:pStyle w:val="Encabezado"/>
      <w:rPr>
        <w:rFonts w:ascii="Tahoma" w:hAnsi="Tahoma" w:cs="Tahoma"/>
        <w:sz w:val="8"/>
      </w:rPr>
    </w:pPr>
  </w:p>
  <w:p w:rsidR="00DC2BBC" w:rsidRDefault="00235BD1">
    <w:pPr>
      <w:pStyle w:val="Encabezado"/>
    </w:pPr>
    <w:r>
      <w:rPr>
        <w:noProof/>
      </w:rPr>
      <w:drawing>
        <wp:inline distT="0" distB="0" distL="0" distR="0">
          <wp:extent cx="1571625" cy="1219200"/>
          <wp:effectExtent l="0" t="0" r="9525"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B0E"/>
    <w:rsid w:val="00004FE1"/>
    <w:rsid w:val="00014DDB"/>
    <w:rsid w:val="000161B9"/>
    <w:rsid w:val="000229B5"/>
    <w:rsid w:val="00025419"/>
    <w:rsid w:val="0003468E"/>
    <w:rsid w:val="000352F0"/>
    <w:rsid w:val="0003642F"/>
    <w:rsid w:val="000367BB"/>
    <w:rsid w:val="00040B1A"/>
    <w:rsid w:val="00043E5E"/>
    <w:rsid w:val="000448FA"/>
    <w:rsid w:val="00044B50"/>
    <w:rsid w:val="000479B3"/>
    <w:rsid w:val="00054A9B"/>
    <w:rsid w:val="00054CD9"/>
    <w:rsid w:val="00056829"/>
    <w:rsid w:val="0006131A"/>
    <w:rsid w:val="000653AB"/>
    <w:rsid w:val="00070555"/>
    <w:rsid w:val="000711BD"/>
    <w:rsid w:val="000714F0"/>
    <w:rsid w:val="0007281C"/>
    <w:rsid w:val="00072FEB"/>
    <w:rsid w:val="00073152"/>
    <w:rsid w:val="00074463"/>
    <w:rsid w:val="00075575"/>
    <w:rsid w:val="00081209"/>
    <w:rsid w:val="00081AC2"/>
    <w:rsid w:val="00081BF9"/>
    <w:rsid w:val="00084A9E"/>
    <w:rsid w:val="00084FFA"/>
    <w:rsid w:val="00093AFB"/>
    <w:rsid w:val="00094D4C"/>
    <w:rsid w:val="000A1063"/>
    <w:rsid w:val="000B1067"/>
    <w:rsid w:val="000B2584"/>
    <w:rsid w:val="000B334F"/>
    <w:rsid w:val="000B45AA"/>
    <w:rsid w:val="000C10F4"/>
    <w:rsid w:val="000C19B8"/>
    <w:rsid w:val="000C524A"/>
    <w:rsid w:val="000C640F"/>
    <w:rsid w:val="000C699D"/>
    <w:rsid w:val="000D251E"/>
    <w:rsid w:val="000D715E"/>
    <w:rsid w:val="000E117C"/>
    <w:rsid w:val="000E1A99"/>
    <w:rsid w:val="000E6AAA"/>
    <w:rsid w:val="000E7935"/>
    <w:rsid w:val="000F17B4"/>
    <w:rsid w:val="000F2E89"/>
    <w:rsid w:val="000F4FA1"/>
    <w:rsid w:val="000F5879"/>
    <w:rsid w:val="001002E7"/>
    <w:rsid w:val="00105030"/>
    <w:rsid w:val="001077DC"/>
    <w:rsid w:val="00111B97"/>
    <w:rsid w:val="00113518"/>
    <w:rsid w:val="00120691"/>
    <w:rsid w:val="001206EF"/>
    <w:rsid w:val="00124F58"/>
    <w:rsid w:val="001301DF"/>
    <w:rsid w:val="00131E4E"/>
    <w:rsid w:val="00132C47"/>
    <w:rsid w:val="001339A5"/>
    <w:rsid w:val="0013431C"/>
    <w:rsid w:val="001361E3"/>
    <w:rsid w:val="0014091C"/>
    <w:rsid w:val="00142A50"/>
    <w:rsid w:val="0014355A"/>
    <w:rsid w:val="0014403D"/>
    <w:rsid w:val="00146B0F"/>
    <w:rsid w:val="0015068C"/>
    <w:rsid w:val="00150761"/>
    <w:rsid w:val="001531E5"/>
    <w:rsid w:val="00153A3B"/>
    <w:rsid w:val="001542DE"/>
    <w:rsid w:val="001605A0"/>
    <w:rsid w:val="00164E1E"/>
    <w:rsid w:val="00165CAF"/>
    <w:rsid w:val="00166D26"/>
    <w:rsid w:val="0016790A"/>
    <w:rsid w:val="0017250D"/>
    <w:rsid w:val="00174209"/>
    <w:rsid w:val="001771C0"/>
    <w:rsid w:val="0018047C"/>
    <w:rsid w:val="00181EE3"/>
    <w:rsid w:val="00183610"/>
    <w:rsid w:val="001863EB"/>
    <w:rsid w:val="00196F51"/>
    <w:rsid w:val="001A5473"/>
    <w:rsid w:val="001A5A87"/>
    <w:rsid w:val="001B0E71"/>
    <w:rsid w:val="001B29EB"/>
    <w:rsid w:val="001B475A"/>
    <w:rsid w:val="001B6C00"/>
    <w:rsid w:val="001B7E9B"/>
    <w:rsid w:val="001C1EA3"/>
    <w:rsid w:val="001C42B6"/>
    <w:rsid w:val="001C4742"/>
    <w:rsid w:val="001C7699"/>
    <w:rsid w:val="001D1B45"/>
    <w:rsid w:val="001D6862"/>
    <w:rsid w:val="001D78F5"/>
    <w:rsid w:val="001E008D"/>
    <w:rsid w:val="001E0386"/>
    <w:rsid w:val="001E0C5A"/>
    <w:rsid w:val="001E19D5"/>
    <w:rsid w:val="001E2CF6"/>
    <w:rsid w:val="001E3988"/>
    <w:rsid w:val="001E479B"/>
    <w:rsid w:val="001E7B03"/>
    <w:rsid w:val="001F0D65"/>
    <w:rsid w:val="001F11A4"/>
    <w:rsid w:val="001F1899"/>
    <w:rsid w:val="001F1A9A"/>
    <w:rsid w:val="001F3E0C"/>
    <w:rsid w:val="001F7AEE"/>
    <w:rsid w:val="002016AE"/>
    <w:rsid w:val="00201E97"/>
    <w:rsid w:val="00202B7B"/>
    <w:rsid w:val="002049C5"/>
    <w:rsid w:val="0020791F"/>
    <w:rsid w:val="00211946"/>
    <w:rsid w:val="0021215B"/>
    <w:rsid w:val="00216974"/>
    <w:rsid w:val="00217489"/>
    <w:rsid w:val="002206E8"/>
    <w:rsid w:val="00224140"/>
    <w:rsid w:val="00226503"/>
    <w:rsid w:val="00230103"/>
    <w:rsid w:val="00231ECA"/>
    <w:rsid w:val="00233415"/>
    <w:rsid w:val="00234DD4"/>
    <w:rsid w:val="00235114"/>
    <w:rsid w:val="00235BD1"/>
    <w:rsid w:val="00250B2A"/>
    <w:rsid w:val="002510E7"/>
    <w:rsid w:val="00254A87"/>
    <w:rsid w:val="0025641D"/>
    <w:rsid w:val="00256F6A"/>
    <w:rsid w:val="00264A57"/>
    <w:rsid w:val="00267A53"/>
    <w:rsid w:val="002702FE"/>
    <w:rsid w:val="00270C5B"/>
    <w:rsid w:val="002751D2"/>
    <w:rsid w:val="00281D57"/>
    <w:rsid w:val="00282118"/>
    <w:rsid w:val="00282A1A"/>
    <w:rsid w:val="00285A8B"/>
    <w:rsid w:val="00287CE6"/>
    <w:rsid w:val="00292AA4"/>
    <w:rsid w:val="00293B22"/>
    <w:rsid w:val="00294D5A"/>
    <w:rsid w:val="00294FB6"/>
    <w:rsid w:val="00295E85"/>
    <w:rsid w:val="002978F4"/>
    <w:rsid w:val="00297AD1"/>
    <w:rsid w:val="002A0B28"/>
    <w:rsid w:val="002A4035"/>
    <w:rsid w:val="002A5283"/>
    <w:rsid w:val="002A56BC"/>
    <w:rsid w:val="002B023D"/>
    <w:rsid w:val="002B51C5"/>
    <w:rsid w:val="002C19FA"/>
    <w:rsid w:val="002C24CB"/>
    <w:rsid w:val="002C6DCC"/>
    <w:rsid w:val="002D5091"/>
    <w:rsid w:val="002D62AF"/>
    <w:rsid w:val="002E2CB7"/>
    <w:rsid w:val="002E6C96"/>
    <w:rsid w:val="002F0376"/>
    <w:rsid w:val="002F13E5"/>
    <w:rsid w:val="002F1B9A"/>
    <w:rsid w:val="002F3B9C"/>
    <w:rsid w:val="002F508E"/>
    <w:rsid w:val="00300E2D"/>
    <w:rsid w:val="00302682"/>
    <w:rsid w:val="003026A2"/>
    <w:rsid w:val="00303824"/>
    <w:rsid w:val="00314840"/>
    <w:rsid w:val="003203FA"/>
    <w:rsid w:val="003205FF"/>
    <w:rsid w:val="00321EC8"/>
    <w:rsid w:val="00322659"/>
    <w:rsid w:val="00323DE0"/>
    <w:rsid w:val="00326DC2"/>
    <w:rsid w:val="003305B2"/>
    <w:rsid w:val="00332DE4"/>
    <w:rsid w:val="00337AB0"/>
    <w:rsid w:val="0034022F"/>
    <w:rsid w:val="00341B3E"/>
    <w:rsid w:val="00351487"/>
    <w:rsid w:val="00356B3F"/>
    <w:rsid w:val="00362AAB"/>
    <w:rsid w:val="00367CB1"/>
    <w:rsid w:val="00370F6C"/>
    <w:rsid w:val="00372933"/>
    <w:rsid w:val="00372F40"/>
    <w:rsid w:val="00373B6D"/>
    <w:rsid w:val="003751E2"/>
    <w:rsid w:val="00375CC7"/>
    <w:rsid w:val="003834EF"/>
    <w:rsid w:val="00383D8B"/>
    <w:rsid w:val="0039183D"/>
    <w:rsid w:val="00391C14"/>
    <w:rsid w:val="00394BA1"/>
    <w:rsid w:val="003956E5"/>
    <w:rsid w:val="00396D78"/>
    <w:rsid w:val="00397766"/>
    <w:rsid w:val="003A091C"/>
    <w:rsid w:val="003A2A88"/>
    <w:rsid w:val="003A497B"/>
    <w:rsid w:val="003A5822"/>
    <w:rsid w:val="003B02B7"/>
    <w:rsid w:val="003B030A"/>
    <w:rsid w:val="003B6AFE"/>
    <w:rsid w:val="003C33E8"/>
    <w:rsid w:val="003C37C0"/>
    <w:rsid w:val="003C5E57"/>
    <w:rsid w:val="003D4B2C"/>
    <w:rsid w:val="003D4DEF"/>
    <w:rsid w:val="003D7840"/>
    <w:rsid w:val="003F0FDF"/>
    <w:rsid w:val="003F4BDE"/>
    <w:rsid w:val="003F5E08"/>
    <w:rsid w:val="00400814"/>
    <w:rsid w:val="00401619"/>
    <w:rsid w:val="0040194D"/>
    <w:rsid w:val="004032C1"/>
    <w:rsid w:val="00407637"/>
    <w:rsid w:val="004120E2"/>
    <w:rsid w:val="00415CC3"/>
    <w:rsid w:val="00425FF4"/>
    <w:rsid w:val="00430D77"/>
    <w:rsid w:val="004312CF"/>
    <w:rsid w:val="0043141A"/>
    <w:rsid w:val="00432670"/>
    <w:rsid w:val="00433EE8"/>
    <w:rsid w:val="00441F50"/>
    <w:rsid w:val="00441F85"/>
    <w:rsid w:val="0044795F"/>
    <w:rsid w:val="00452E65"/>
    <w:rsid w:val="00454315"/>
    <w:rsid w:val="004547A6"/>
    <w:rsid w:val="00454B8B"/>
    <w:rsid w:val="0046718C"/>
    <w:rsid w:val="00467508"/>
    <w:rsid w:val="00467595"/>
    <w:rsid w:val="00471A9A"/>
    <w:rsid w:val="00473EB7"/>
    <w:rsid w:val="00477304"/>
    <w:rsid w:val="004803CC"/>
    <w:rsid w:val="00480FCA"/>
    <w:rsid w:val="00481490"/>
    <w:rsid w:val="0048203B"/>
    <w:rsid w:val="00482348"/>
    <w:rsid w:val="0048241E"/>
    <w:rsid w:val="004824B1"/>
    <w:rsid w:val="00485A4C"/>
    <w:rsid w:val="00490E57"/>
    <w:rsid w:val="00493CDB"/>
    <w:rsid w:val="00494AA1"/>
    <w:rsid w:val="00496461"/>
    <w:rsid w:val="00496A15"/>
    <w:rsid w:val="004A00E3"/>
    <w:rsid w:val="004A6393"/>
    <w:rsid w:val="004A698D"/>
    <w:rsid w:val="004B10C8"/>
    <w:rsid w:val="004B1676"/>
    <w:rsid w:val="004B3739"/>
    <w:rsid w:val="004B3A5F"/>
    <w:rsid w:val="004B791D"/>
    <w:rsid w:val="004B7B3F"/>
    <w:rsid w:val="004C10FE"/>
    <w:rsid w:val="004C250E"/>
    <w:rsid w:val="004C27B6"/>
    <w:rsid w:val="004D0347"/>
    <w:rsid w:val="004D13A4"/>
    <w:rsid w:val="004E17F3"/>
    <w:rsid w:val="004E3F57"/>
    <w:rsid w:val="004E4A4E"/>
    <w:rsid w:val="004E56E3"/>
    <w:rsid w:val="004E585C"/>
    <w:rsid w:val="004E655D"/>
    <w:rsid w:val="004F0F16"/>
    <w:rsid w:val="004F2F93"/>
    <w:rsid w:val="004F34B7"/>
    <w:rsid w:val="004F758C"/>
    <w:rsid w:val="004F7914"/>
    <w:rsid w:val="004F7C44"/>
    <w:rsid w:val="00502C12"/>
    <w:rsid w:val="00504C03"/>
    <w:rsid w:val="00505067"/>
    <w:rsid w:val="00505A4E"/>
    <w:rsid w:val="005073CF"/>
    <w:rsid w:val="00507C8D"/>
    <w:rsid w:val="00511C4D"/>
    <w:rsid w:val="005124DB"/>
    <w:rsid w:val="005150C9"/>
    <w:rsid w:val="00515BBF"/>
    <w:rsid w:val="00516E68"/>
    <w:rsid w:val="005172FE"/>
    <w:rsid w:val="00517C86"/>
    <w:rsid w:val="00520FA4"/>
    <w:rsid w:val="00521391"/>
    <w:rsid w:val="005220BC"/>
    <w:rsid w:val="00523013"/>
    <w:rsid w:val="005238D0"/>
    <w:rsid w:val="00524E1D"/>
    <w:rsid w:val="0052650A"/>
    <w:rsid w:val="00527649"/>
    <w:rsid w:val="005279E8"/>
    <w:rsid w:val="005325B4"/>
    <w:rsid w:val="0053385B"/>
    <w:rsid w:val="00536B82"/>
    <w:rsid w:val="0054263E"/>
    <w:rsid w:val="00551911"/>
    <w:rsid w:val="00551920"/>
    <w:rsid w:val="00552A0E"/>
    <w:rsid w:val="00552B7F"/>
    <w:rsid w:val="005540CE"/>
    <w:rsid w:val="00554A6E"/>
    <w:rsid w:val="00560B0C"/>
    <w:rsid w:val="00562B5C"/>
    <w:rsid w:val="00563D53"/>
    <w:rsid w:val="00565F73"/>
    <w:rsid w:val="00567980"/>
    <w:rsid w:val="005679E4"/>
    <w:rsid w:val="00577624"/>
    <w:rsid w:val="00577ABF"/>
    <w:rsid w:val="00585BCF"/>
    <w:rsid w:val="00585ED0"/>
    <w:rsid w:val="005916D2"/>
    <w:rsid w:val="00595C35"/>
    <w:rsid w:val="00595DA7"/>
    <w:rsid w:val="00595ED2"/>
    <w:rsid w:val="00596493"/>
    <w:rsid w:val="005A5389"/>
    <w:rsid w:val="005A6091"/>
    <w:rsid w:val="005A7F7C"/>
    <w:rsid w:val="005B0056"/>
    <w:rsid w:val="005B1E55"/>
    <w:rsid w:val="005B4AEC"/>
    <w:rsid w:val="005B6E10"/>
    <w:rsid w:val="005B6F12"/>
    <w:rsid w:val="005B7FCA"/>
    <w:rsid w:val="005C0DCB"/>
    <w:rsid w:val="005C46B0"/>
    <w:rsid w:val="005D173F"/>
    <w:rsid w:val="005D17BC"/>
    <w:rsid w:val="005D4B42"/>
    <w:rsid w:val="005D655F"/>
    <w:rsid w:val="005D7F5A"/>
    <w:rsid w:val="005E0E4A"/>
    <w:rsid w:val="005E1D3C"/>
    <w:rsid w:val="005E1DE9"/>
    <w:rsid w:val="005E5E78"/>
    <w:rsid w:val="005F11EA"/>
    <w:rsid w:val="005F4A02"/>
    <w:rsid w:val="005F5D93"/>
    <w:rsid w:val="00603AAD"/>
    <w:rsid w:val="00604208"/>
    <w:rsid w:val="006075BD"/>
    <w:rsid w:val="006077F1"/>
    <w:rsid w:val="00616820"/>
    <w:rsid w:val="00617E98"/>
    <w:rsid w:val="00622F53"/>
    <w:rsid w:val="006309B9"/>
    <w:rsid w:val="00640913"/>
    <w:rsid w:val="00641842"/>
    <w:rsid w:val="00645C46"/>
    <w:rsid w:val="006502B2"/>
    <w:rsid w:val="00650A99"/>
    <w:rsid w:val="0065485A"/>
    <w:rsid w:val="0065684C"/>
    <w:rsid w:val="00664223"/>
    <w:rsid w:val="00670D69"/>
    <w:rsid w:val="00673491"/>
    <w:rsid w:val="0067483D"/>
    <w:rsid w:val="006753C6"/>
    <w:rsid w:val="00676443"/>
    <w:rsid w:val="006807AC"/>
    <w:rsid w:val="00682367"/>
    <w:rsid w:val="00685A7B"/>
    <w:rsid w:val="00685EF4"/>
    <w:rsid w:val="00691B8F"/>
    <w:rsid w:val="006928D1"/>
    <w:rsid w:val="00692975"/>
    <w:rsid w:val="00697D59"/>
    <w:rsid w:val="006A0029"/>
    <w:rsid w:val="006A05D6"/>
    <w:rsid w:val="006A0F41"/>
    <w:rsid w:val="006A5990"/>
    <w:rsid w:val="006A5FCB"/>
    <w:rsid w:val="006A6FC6"/>
    <w:rsid w:val="006B0537"/>
    <w:rsid w:val="006B5985"/>
    <w:rsid w:val="006B765E"/>
    <w:rsid w:val="006B76AB"/>
    <w:rsid w:val="006C24A8"/>
    <w:rsid w:val="006C7116"/>
    <w:rsid w:val="006D2B4A"/>
    <w:rsid w:val="006D7C83"/>
    <w:rsid w:val="006E4583"/>
    <w:rsid w:val="006E5817"/>
    <w:rsid w:val="006F03F4"/>
    <w:rsid w:val="006F26B2"/>
    <w:rsid w:val="006F58C5"/>
    <w:rsid w:val="006F7B44"/>
    <w:rsid w:val="00700DA8"/>
    <w:rsid w:val="00700DB0"/>
    <w:rsid w:val="0070120A"/>
    <w:rsid w:val="00702901"/>
    <w:rsid w:val="00702E4F"/>
    <w:rsid w:val="007042C0"/>
    <w:rsid w:val="007050ED"/>
    <w:rsid w:val="007057E8"/>
    <w:rsid w:val="007062D9"/>
    <w:rsid w:val="00706545"/>
    <w:rsid w:val="00712F01"/>
    <w:rsid w:val="00725B63"/>
    <w:rsid w:val="00727872"/>
    <w:rsid w:val="007300AD"/>
    <w:rsid w:val="0073154E"/>
    <w:rsid w:val="0073240B"/>
    <w:rsid w:val="00735592"/>
    <w:rsid w:val="00736B63"/>
    <w:rsid w:val="00741448"/>
    <w:rsid w:val="00743253"/>
    <w:rsid w:val="00743E1A"/>
    <w:rsid w:val="00745063"/>
    <w:rsid w:val="00745F39"/>
    <w:rsid w:val="00747180"/>
    <w:rsid w:val="00750582"/>
    <w:rsid w:val="00753182"/>
    <w:rsid w:val="00754D05"/>
    <w:rsid w:val="00762866"/>
    <w:rsid w:val="00763FDB"/>
    <w:rsid w:val="007641A0"/>
    <w:rsid w:val="00766EC2"/>
    <w:rsid w:val="00767FB9"/>
    <w:rsid w:val="00770276"/>
    <w:rsid w:val="00770887"/>
    <w:rsid w:val="00770ADC"/>
    <w:rsid w:val="00771928"/>
    <w:rsid w:val="00771F35"/>
    <w:rsid w:val="00773282"/>
    <w:rsid w:val="00773547"/>
    <w:rsid w:val="00775756"/>
    <w:rsid w:val="00776215"/>
    <w:rsid w:val="007828B7"/>
    <w:rsid w:val="00782F33"/>
    <w:rsid w:val="0078515B"/>
    <w:rsid w:val="007877F3"/>
    <w:rsid w:val="00790020"/>
    <w:rsid w:val="00790739"/>
    <w:rsid w:val="00791734"/>
    <w:rsid w:val="00792612"/>
    <w:rsid w:val="00796DDA"/>
    <w:rsid w:val="007A46D7"/>
    <w:rsid w:val="007A4D88"/>
    <w:rsid w:val="007A4D8D"/>
    <w:rsid w:val="007B3EF7"/>
    <w:rsid w:val="007B4882"/>
    <w:rsid w:val="007B4958"/>
    <w:rsid w:val="007B5621"/>
    <w:rsid w:val="007B6AD6"/>
    <w:rsid w:val="007B70F7"/>
    <w:rsid w:val="007C336F"/>
    <w:rsid w:val="007C4270"/>
    <w:rsid w:val="007C450B"/>
    <w:rsid w:val="007C4578"/>
    <w:rsid w:val="007C4647"/>
    <w:rsid w:val="007C532D"/>
    <w:rsid w:val="007D17E3"/>
    <w:rsid w:val="007D411F"/>
    <w:rsid w:val="007D4121"/>
    <w:rsid w:val="007D7B69"/>
    <w:rsid w:val="007E1795"/>
    <w:rsid w:val="007E35B4"/>
    <w:rsid w:val="007E45F2"/>
    <w:rsid w:val="007F2F30"/>
    <w:rsid w:val="007F40C8"/>
    <w:rsid w:val="007F6500"/>
    <w:rsid w:val="007F7858"/>
    <w:rsid w:val="007F7C04"/>
    <w:rsid w:val="00800D01"/>
    <w:rsid w:val="00800EA9"/>
    <w:rsid w:val="008036D7"/>
    <w:rsid w:val="00804D2D"/>
    <w:rsid w:val="00806566"/>
    <w:rsid w:val="00807EFC"/>
    <w:rsid w:val="00810084"/>
    <w:rsid w:val="00811831"/>
    <w:rsid w:val="008120FD"/>
    <w:rsid w:val="00815CEE"/>
    <w:rsid w:val="00815D0B"/>
    <w:rsid w:val="008165BB"/>
    <w:rsid w:val="008175B2"/>
    <w:rsid w:val="00817D8E"/>
    <w:rsid w:val="00820529"/>
    <w:rsid w:val="00821EDD"/>
    <w:rsid w:val="00827082"/>
    <w:rsid w:val="00832014"/>
    <w:rsid w:val="00836C5C"/>
    <w:rsid w:val="008442CE"/>
    <w:rsid w:val="008445AE"/>
    <w:rsid w:val="00844F12"/>
    <w:rsid w:val="00852E16"/>
    <w:rsid w:val="00857DE1"/>
    <w:rsid w:val="00861849"/>
    <w:rsid w:val="008647D1"/>
    <w:rsid w:val="00865165"/>
    <w:rsid w:val="00865411"/>
    <w:rsid w:val="0087308F"/>
    <w:rsid w:val="00874728"/>
    <w:rsid w:val="0087506E"/>
    <w:rsid w:val="008751D9"/>
    <w:rsid w:val="008761A0"/>
    <w:rsid w:val="00881C9C"/>
    <w:rsid w:val="0088224E"/>
    <w:rsid w:val="0088732D"/>
    <w:rsid w:val="00896EAD"/>
    <w:rsid w:val="008A0307"/>
    <w:rsid w:val="008A3FB8"/>
    <w:rsid w:val="008A5D7F"/>
    <w:rsid w:val="008B0625"/>
    <w:rsid w:val="008B2FAD"/>
    <w:rsid w:val="008B30C9"/>
    <w:rsid w:val="008B5A92"/>
    <w:rsid w:val="008B7176"/>
    <w:rsid w:val="008C00FD"/>
    <w:rsid w:val="008C2780"/>
    <w:rsid w:val="008C2EA2"/>
    <w:rsid w:val="008C73D6"/>
    <w:rsid w:val="008C7A2F"/>
    <w:rsid w:val="008E2ADB"/>
    <w:rsid w:val="008E40B7"/>
    <w:rsid w:val="008E6775"/>
    <w:rsid w:val="008E78EB"/>
    <w:rsid w:val="008F0563"/>
    <w:rsid w:val="008F6815"/>
    <w:rsid w:val="00901C37"/>
    <w:rsid w:val="00902FDE"/>
    <w:rsid w:val="009058D0"/>
    <w:rsid w:val="00907660"/>
    <w:rsid w:val="00913AD5"/>
    <w:rsid w:val="00914565"/>
    <w:rsid w:val="00915224"/>
    <w:rsid w:val="00926286"/>
    <w:rsid w:val="00926B45"/>
    <w:rsid w:val="00934CE3"/>
    <w:rsid w:val="00942F02"/>
    <w:rsid w:val="00943029"/>
    <w:rsid w:val="00944AFA"/>
    <w:rsid w:val="00950A8A"/>
    <w:rsid w:val="0095205A"/>
    <w:rsid w:val="00953158"/>
    <w:rsid w:val="00953438"/>
    <w:rsid w:val="00956098"/>
    <w:rsid w:val="009606B3"/>
    <w:rsid w:val="0096241A"/>
    <w:rsid w:val="009627C2"/>
    <w:rsid w:val="00963CFD"/>
    <w:rsid w:val="00966EAD"/>
    <w:rsid w:val="00973D1A"/>
    <w:rsid w:val="0097536C"/>
    <w:rsid w:val="0098143F"/>
    <w:rsid w:val="00982549"/>
    <w:rsid w:val="009848DF"/>
    <w:rsid w:val="00986F71"/>
    <w:rsid w:val="00990B51"/>
    <w:rsid w:val="0099278C"/>
    <w:rsid w:val="00996A17"/>
    <w:rsid w:val="009A2DAC"/>
    <w:rsid w:val="009A3F4E"/>
    <w:rsid w:val="009A5596"/>
    <w:rsid w:val="009A5D7C"/>
    <w:rsid w:val="009A7AA1"/>
    <w:rsid w:val="009B2860"/>
    <w:rsid w:val="009B38B1"/>
    <w:rsid w:val="009B4265"/>
    <w:rsid w:val="009B7AC7"/>
    <w:rsid w:val="009C0615"/>
    <w:rsid w:val="009C3354"/>
    <w:rsid w:val="009C3E29"/>
    <w:rsid w:val="009C5C1A"/>
    <w:rsid w:val="009C7A81"/>
    <w:rsid w:val="009C7C0D"/>
    <w:rsid w:val="009D4B99"/>
    <w:rsid w:val="009D7ECE"/>
    <w:rsid w:val="009E0D78"/>
    <w:rsid w:val="009E1BDB"/>
    <w:rsid w:val="009E5D05"/>
    <w:rsid w:val="009F0492"/>
    <w:rsid w:val="009F248B"/>
    <w:rsid w:val="009F5AC9"/>
    <w:rsid w:val="009F6412"/>
    <w:rsid w:val="00A022B9"/>
    <w:rsid w:val="00A0382D"/>
    <w:rsid w:val="00A05791"/>
    <w:rsid w:val="00A05F58"/>
    <w:rsid w:val="00A13AE4"/>
    <w:rsid w:val="00A2390B"/>
    <w:rsid w:val="00A329EF"/>
    <w:rsid w:val="00A34FD5"/>
    <w:rsid w:val="00A35012"/>
    <w:rsid w:val="00A3510C"/>
    <w:rsid w:val="00A36083"/>
    <w:rsid w:val="00A36A80"/>
    <w:rsid w:val="00A3763C"/>
    <w:rsid w:val="00A37B6F"/>
    <w:rsid w:val="00A40070"/>
    <w:rsid w:val="00A43CD6"/>
    <w:rsid w:val="00A441FE"/>
    <w:rsid w:val="00A44621"/>
    <w:rsid w:val="00A47C6A"/>
    <w:rsid w:val="00A47CA0"/>
    <w:rsid w:val="00A566FE"/>
    <w:rsid w:val="00A57CC2"/>
    <w:rsid w:val="00A6251D"/>
    <w:rsid w:val="00A654D7"/>
    <w:rsid w:val="00A65971"/>
    <w:rsid w:val="00A66750"/>
    <w:rsid w:val="00A70182"/>
    <w:rsid w:val="00A70BA7"/>
    <w:rsid w:val="00A71A35"/>
    <w:rsid w:val="00A72A13"/>
    <w:rsid w:val="00A744EC"/>
    <w:rsid w:val="00A7495A"/>
    <w:rsid w:val="00A76716"/>
    <w:rsid w:val="00A836B4"/>
    <w:rsid w:val="00A839F4"/>
    <w:rsid w:val="00A85837"/>
    <w:rsid w:val="00A926CE"/>
    <w:rsid w:val="00A9371D"/>
    <w:rsid w:val="00A97894"/>
    <w:rsid w:val="00A97FDD"/>
    <w:rsid w:val="00AA0FB7"/>
    <w:rsid w:val="00AA5D20"/>
    <w:rsid w:val="00AA75DD"/>
    <w:rsid w:val="00AB26F6"/>
    <w:rsid w:val="00AB37B1"/>
    <w:rsid w:val="00AB4AFF"/>
    <w:rsid w:val="00AB4FFD"/>
    <w:rsid w:val="00AC0922"/>
    <w:rsid w:val="00AC2164"/>
    <w:rsid w:val="00AC2B0C"/>
    <w:rsid w:val="00AC4815"/>
    <w:rsid w:val="00AC6DD0"/>
    <w:rsid w:val="00AD0C4B"/>
    <w:rsid w:val="00AD3A74"/>
    <w:rsid w:val="00AD56DB"/>
    <w:rsid w:val="00AD7A50"/>
    <w:rsid w:val="00AE23D3"/>
    <w:rsid w:val="00AE45E6"/>
    <w:rsid w:val="00AF00AF"/>
    <w:rsid w:val="00AF5368"/>
    <w:rsid w:val="00AF5E1D"/>
    <w:rsid w:val="00AF7171"/>
    <w:rsid w:val="00AF71D3"/>
    <w:rsid w:val="00B03E66"/>
    <w:rsid w:val="00B10F99"/>
    <w:rsid w:val="00B11E2E"/>
    <w:rsid w:val="00B1396D"/>
    <w:rsid w:val="00B179EC"/>
    <w:rsid w:val="00B17D06"/>
    <w:rsid w:val="00B212CE"/>
    <w:rsid w:val="00B229DE"/>
    <w:rsid w:val="00B24C81"/>
    <w:rsid w:val="00B24EC6"/>
    <w:rsid w:val="00B258AA"/>
    <w:rsid w:val="00B33ABA"/>
    <w:rsid w:val="00B36589"/>
    <w:rsid w:val="00B36BB2"/>
    <w:rsid w:val="00B401FB"/>
    <w:rsid w:val="00B430BE"/>
    <w:rsid w:val="00B51E12"/>
    <w:rsid w:val="00B57DCE"/>
    <w:rsid w:val="00B6483D"/>
    <w:rsid w:val="00B65E8C"/>
    <w:rsid w:val="00B74F06"/>
    <w:rsid w:val="00B75CAD"/>
    <w:rsid w:val="00B761E4"/>
    <w:rsid w:val="00B77436"/>
    <w:rsid w:val="00B80105"/>
    <w:rsid w:val="00B82557"/>
    <w:rsid w:val="00B83B9D"/>
    <w:rsid w:val="00B83BF2"/>
    <w:rsid w:val="00B8540B"/>
    <w:rsid w:val="00B867BE"/>
    <w:rsid w:val="00B9099F"/>
    <w:rsid w:val="00B94319"/>
    <w:rsid w:val="00B944CF"/>
    <w:rsid w:val="00B97B3B"/>
    <w:rsid w:val="00BA1DE4"/>
    <w:rsid w:val="00BA2203"/>
    <w:rsid w:val="00BA2D04"/>
    <w:rsid w:val="00BA3E16"/>
    <w:rsid w:val="00BA4F3D"/>
    <w:rsid w:val="00BA5EC8"/>
    <w:rsid w:val="00BB0B2C"/>
    <w:rsid w:val="00BB2EB5"/>
    <w:rsid w:val="00BB3D88"/>
    <w:rsid w:val="00BB4008"/>
    <w:rsid w:val="00BC2190"/>
    <w:rsid w:val="00BC265C"/>
    <w:rsid w:val="00BC3C07"/>
    <w:rsid w:val="00BD39F4"/>
    <w:rsid w:val="00BD4C82"/>
    <w:rsid w:val="00BE1C07"/>
    <w:rsid w:val="00BE325A"/>
    <w:rsid w:val="00BF3F76"/>
    <w:rsid w:val="00BF62B0"/>
    <w:rsid w:val="00C00585"/>
    <w:rsid w:val="00C01693"/>
    <w:rsid w:val="00C020AF"/>
    <w:rsid w:val="00C0395D"/>
    <w:rsid w:val="00C03A42"/>
    <w:rsid w:val="00C0423C"/>
    <w:rsid w:val="00C076B4"/>
    <w:rsid w:val="00C10915"/>
    <w:rsid w:val="00C10AAC"/>
    <w:rsid w:val="00C12F15"/>
    <w:rsid w:val="00C142B1"/>
    <w:rsid w:val="00C15A80"/>
    <w:rsid w:val="00C20CA8"/>
    <w:rsid w:val="00C20E26"/>
    <w:rsid w:val="00C22DBE"/>
    <w:rsid w:val="00C276A2"/>
    <w:rsid w:val="00C301E9"/>
    <w:rsid w:val="00C32B9A"/>
    <w:rsid w:val="00C32E28"/>
    <w:rsid w:val="00C3332E"/>
    <w:rsid w:val="00C334D1"/>
    <w:rsid w:val="00C36BE7"/>
    <w:rsid w:val="00C37A7B"/>
    <w:rsid w:val="00C419AE"/>
    <w:rsid w:val="00C43064"/>
    <w:rsid w:val="00C46A08"/>
    <w:rsid w:val="00C47D9E"/>
    <w:rsid w:val="00C51797"/>
    <w:rsid w:val="00C533B1"/>
    <w:rsid w:val="00C541A9"/>
    <w:rsid w:val="00C54674"/>
    <w:rsid w:val="00C54A4A"/>
    <w:rsid w:val="00C55945"/>
    <w:rsid w:val="00C563B0"/>
    <w:rsid w:val="00C56A9B"/>
    <w:rsid w:val="00C572C4"/>
    <w:rsid w:val="00C65605"/>
    <w:rsid w:val="00C6685D"/>
    <w:rsid w:val="00C70370"/>
    <w:rsid w:val="00C70B40"/>
    <w:rsid w:val="00C72D32"/>
    <w:rsid w:val="00C769E0"/>
    <w:rsid w:val="00C86CA5"/>
    <w:rsid w:val="00C8709C"/>
    <w:rsid w:val="00C97A0F"/>
    <w:rsid w:val="00CA637D"/>
    <w:rsid w:val="00CA669B"/>
    <w:rsid w:val="00CA6D9C"/>
    <w:rsid w:val="00CA76CA"/>
    <w:rsid w:val="00CB2890"/>
    <w:rsid w:val="00CB4005"/>
    <w:rsid w:val="00CB47E0"/>
    <w:rsid w:val="00CB6457"/>
    <w:rsid w:val="00CB6D39"/>
    <w:rsid w:val="00CC0170"/>
    <w:rsid w:val="00CC2339"/>
    <w:rsid w:val="00CC59C1"/>
    <w:rsid w:val="00CC74DC"/>
    <w:rsid w:val="00CD2736"/>
    <w:rsid w:val="00CD3A6C"/>
    <w:rsid w:val="00CE6524"/>
    <w:rsid w:val="00CE6B13"/>
    <w:rsid w:val="00CF0493"/>
    <w:rsid w:val="00CF11FD"/>
    <w:rsid w:val="00CF7230"/>
    <w:rsid w:val="00D02D35"/>
    <w:rsid w:val="00D03B46"/>
    <w:rsid w:val="00D1102A"/>
    <w:rsid w:val="00D210D7"/>
    <w:rsid w:val="00D23393"/>
    <w:rsid w:val="00D27BCA"/>
    <w:rsid w:val="00D33A0E"/>
    <w:rsid w:val="00D34898"/>
    <w:rsid w:val="00D37BAF"/>
    <w:rsid w:val="00D41094"/>
    <w:rsid w:val="00D42439"/>
    <w:rsid w:val="00D4672B"/>
    <w:rsid w:val="00D47B0A"/>
    <w:rsid w:val="00D51763"/>
    <w:rsid w:val="00D534DF"/>
    <w:rsid w:val="00D53A05"/>
    <w:rsid w:val="00D613CB"/>
    <w:rsid w:val="00D65EB0"/>
    <w:rsid w:val="00D66BFE"/>
    <w:rsid w:val="00D718F8"/>
    <w:rsid w:val="00D71C09"/>
    <w:rsid w:val="00D72308"/>
    <w:rsid w:val="00D76FA2"/>
    <w:rsid w:val="00D774B6"/>
    <w:rsid w:val="00D86264"/>
    <w:rsid w:val="00D912A5"/>
    <w:rsid w:val="00D9135C"/>
    <w:rsid w:val="00D95BCE"/>
    <w:rsid w:val="00D9794C"/>
    <w:rsid w:val="00DA07E0"/>
    <w:rsid w:val="00DA12F2"/>
    <w:rsid w:val="00DA6502"/>
    <w:rsid w:val="00DA6531"/>
    <w:rsid w:val="00DB46A2"/>
    <w:rsid w:val="00DB7F92"/>
    <w:rsid w:val="00DC2BBC"/>
    <w:rsid w:val="00DC5A57"/>
    <w:rsid w:val="00DD0981"/>
    <w:rsid w:val="00DD0F92"/>
    <w:rsid w:val="00DD2AEB"/>
    <w:rsid w:val="00DD5CA9"/>
    <w:rsid w:val="00DD6F21"/>
    <w:rsid w:val="00DD7B6A"/>
    <w:rsid w:val="00DE266F"/>
    <w:rsid w:val="00DE4790"/>
    <w:rsid w:val="00DE4DEF"/>
    <w:rsid w:val="00DE4F3C"/>
    <w:rsid w:val="00DE59DF"/>
    <w:rsid w:val="00DF05CB"/>
    <w:rsid w:val="00DF240E"/>
    <w:rsid w:val="00DF4D29"/>
    <w:rsid w:val="00DF6119"/>
    <w:rsid w:val="00E00A92"/>
    <w:rsid w:val="00E00EAB"/>
    <w:rsid w:val="00E026F1"/>
    <w:rsid w:val="00E058B1"/>
    <w:rsid w:val="00E10692"/>
    <w:rsid w:val="00E111B6"/>
    <w:rsid w:val="00E14628"/>
    <w:rsid w:val="00E15028"/>
    <w:rsid w:val="00E15E67"/>
    <w:rsid w:val="00E2010C"/>
    <w:rsid w:val="00E21B5E"/>
    <w:rsid w:val="00E2269A"/>
    <w:rsid w:val="00E255C8"/>
    <w:rsid w:val="00E27D3B"/>
    <w:rsid w:val="00E30E3E"/>
    <w:rsid w:val="00E319A8"/>
    <w:rsid w:val="00E324E3"/>
    <w:rsid w:val="00E35F1F"/>
    <w:rsid w:val="00E40368"/>
    <w:rsid w:val="00E4268B"/>
    <w:rsid w:val="00E42DEF"/>
    <w:rsid w:val="00E438FA"/>
    <w:rsid w:val="00E4413B"/>
    <w:rsid w:val="00E44E11"/>
    <w:rsid w:val="00E508CB"/>
    <w:rsid w:val="00E535D9"/>
    <w:rsid w:val="00E55115"/>
    <w:rsid w:val="00E562E9"/>
    <w:rsid w:val="00E566A8"/>
    <w:rsid w:val="00E56795"/>
    <w:rsid w:val="00E60742"/>
    <w:rsid w:val="00E6303E"/>
    <w:rsid w:val="00E71D96"/>
    <w:rsid w:val="00E745B9"/>
    <w:rsid w:val="00E80BDE"/>
    <w:rsid w:val="00E80CF1"/>
    <w:rsid w:val="00E85A59"/>
    <w:rsid w:val="00E95500"/>
    <w:rsid w:val="00EA0EA6"/>
    <w:rsid w:val="00EA3144"/>
    <w:rsid w:val="00EA3968"/>
    <w:rsid w:val="00EA4545"/>
    <w:rsid w:val="00EA542C"/>
    <w:rsid w:val="00EA6661"/>
    <w:rsid w:val="00EA7C3D"/>
    <w:rsid w:val="00EB0D83"/>
    <w:rsid w:val="00EB230A"/>
    <w:rsid w:val="00EB7EE1"/>
    <w:rsid w:val="00EC14DD"/>
    <w:rsid w:val="00EC2A11"/>
    <w:rsid w:val="00EC36EF"/>
    <w:rsid w:val="00EC3FCA"/>
    <w:rsid w:val="00ED18CB"/>
    <w:rsid w:val="00ED6C00"/>
    <w:rsid w:val="00EE23CA"/>
    <w:rsid w:val="00EE272E"/>
    <w:rsid w:val="00EE30F0"/>
    <w:rsid w:val="00EE40F7"/>
    <w:rsid w:val="00EE543C"/>
    <w:rsid w:val="00EF0F9F"/>
    <w:rsid w:val="00EF1F54"/>
    <w:rsid w:val="00EF4447"/>
    <w:rsid w:val="00EF51FE"/>
    <w:rsid w:val="00EF645F"/>
    <w:rsid w:val="00F04E5D"/>
    <w:rsid w:val="00F06007"/>
    <w:rsid w:val="00F067EF"/>
    <w:rsid w:val="00F06B21"/>
    <w:rsid w:val="00F10463"/>
    <w:rsid w:val="00F11ED6"/>
    <w:rsid w:val="00F14702"/>
    <w:rsid w:val="00F237C2"/>
    <w:rsid w:val="00F26250"/>
    <w:rsid w:val="00F26852"/>
    <w:rsid w:val="00F343E9"/>
    <w:rsid w:val="00F344D5"/>
    <w:rsid w:val="00F35776"/>
    <w:rsid w:val="00F413A2"/>
    <w:rsid w:val="00F46E6A"/>
    <w:rsid w:val="00F47BF7"/>
    <w:rsid w:val="00F5220F"/>
    <w:rsid w:val="00F525B8"/>
    <w:rsid w:val="00F57D5F"/>
    <w:rsid w:val="00F64422"/>
    <w:rsid w:val="00F74A4C"/>
    <w:rsid w:val="00F766D0"/>
    <w:rsid w:val="00F77DD0"/>
    <w:rsid w:val="00F832D1"/>
    <w:rsid w:val="00F844E9"/>
    <w:rsid w:val="00F84B99"/>
    <w:rsid w:val="00F8609F"/>
    <w:rsid w:val="00FA240A"/>
    <w:rsid w:val="00FA47DA"/>
    <w:rsid w:val="00FA4824"/>
    <w:rsid w:val="00FA4922"/>
    <w:rsid w:val="00FA4BC9"/>
    <w:rsid w:val="00FA4C6D"/>
    <w:rsid w:val="00FB1D70"/>
    <w:rsid w:val="00FB2024"/>
    <w:rsid w:val="00FB538D"/>
    <w:rsid w:val="00FC3737"/>
    <w:rsid w:val="00FC413F"/>
    <w:rsid w:val="00FD01E9"/>
    <w:rsid w:val="00FD082E"/>
    <w:rsid w:val="00FD0FB5"/>
    <w:rsid w:val="00FD1869"/>
    <w:rsid w:val="00FD52EC"/>
    <w:rsid w:val="00FD53F7"/>
    <w:rsid w:val="00FE090E"/>
    <w:rsid w:val="00FE1BB9"/>
    <w:rsid w:val="00FE3B2D"/>
    <w:rsid w:val="00FE5384"/>
    <w:rsid w:val="00FF4F90"/>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689CD69-9AF6-49B8-A716-63909FF7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nhideWhenUsed/>
    <w:rsid w:val="00650A99"/>
    <w:pPr>
      <w:tabs>
        <w:tab w:val="center" w:pos="4419"/>
        <w:tab w:val="right" w:pos="8838"/>
      </w:tabs>
    </w:pPr>
  </w:style>
  <w:style w:type="character" w:customStyle="1" w:styleId="EncabezadoCar">
    <w:name w:val="Encabezado Car"/>
    <w:basedOn w:val="Fuentedeprrafopredeter"/>
    <w:link w:val="Encabezado"/>
    <w:rsid w:val="00650A99"/>
  </w:style>
  <w:style w:type="paragraph" w:styleId="Piedepgina">
    <w:name w:val="footer"/>
    <w:basedOn w:val="Normal"/>
    <w:link w:val="PiedepginaCar"/>
    <w:unhideWhenUsed/>
    <w:rsid w:val="00650A99"/>
    <w:pPr>
      <w:tabs>
        <w:tab w:val="center" w:pos="4419"/>
        <w:tab w:val="right" w:pos="8838"/>
      </w:tabs>
    </w:pPr>
  </w:style>
  <w:style w:type="character" w:customStyle="1" w:styleId="PiedepginaCar">
    <w:name w:val="Pie de página Car"/>
    <w:basedOn w:val="Fuentedeprrafopredeter"/>
    <w:link w:val="Piedepgina"/>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782305305">
      <w:bodyDiv w:val="1"/>
      <w:marLeft w:val="0"/>
      <w:marRight w:val="0"/>
      <w:marTop w:val="0"/>
      <w:marBottom w:val="0"/>
      <w:divBdr>
        <w:top w:val="none" w:sz="0" w:space="0" w:color="auto"/>
        <w:left w:val="none" w:sz="0" w:space="0" w:color="auto"/>
        <w:bottom w:val="none" w:sz="0" w:space="0" w:color="auto"/>
        <w:right w:val="none" w:sz="0" w:space="0" w:color="auto"/>
      </w:divBdr>
    </w:div>
    <w:div w:id="808864568">
      <w:bodyDiv w:val="1"/>
      <w:marLeft w:val="0"/>
      <w:marRight w:val="0"/>
      <w:marTop w:val="0"/>
      <w:marBottom w:val="0"/>
      <w:divBdr>
        <w:top w:val="none" w:sz="0" w:space="0" w:color="auto"/>
        <w:left w:val="none" w:sz="0" w:space="0" w:color="auto"/>
        <w:bottom w:val="none" w:sz="0" w:space="0" w:color="auto"/>
        <w:right w:val="none" w:sz="0" w:space="0" w:color="auto"/>
      </w:divBdr>
    </w:div>
    <w:div w:id="811406440">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52389746">
      <w:bodyDiv w:val="1"/>
      <w:marLeft w:val="0"/>
      <w:marRight w:val="0"/>
      <w:marTop w:val="0"/>
      <w:marBottom w:val="0"/>
      <w:divBdr>
        <w:top w:val="none" w:sz="0" w:space="0" w:color="auto"/>
        <w:left w:val="none" w:sz="0" w:space="0" w:color="auto"/>
        <w:bottom w:val="none" w:sz="0" w:space="0" w:color="auto"/>
        <w:right w:val="none" w:sz="0" w:space="0" w:color="auto"/>
      </w:divBdr>
    </w:div>
    <w:div w:id="1071198662">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666280176">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87968497">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7433844">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 w:id="214692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png"/><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E:\INFORME%20FISCAL%20Y%20FINANCIERO\2015\ENTIDADES%20TERRITORIALES%2015\CASABIANCA\Contraloria%20Ejecuciones%20casabianc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INFORME%20FISCAL%20Y%20FINANCIERO\2015\ENTIDADES%20TERRITORIALES%2015\CASABIANCA\Contraloria%20Ejecuciones%20casabianca.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7.xml.rels><?xml version="1.0" encoding="UTF-8" standalone="yes"?>
<Relationships xmlns="http://schemas.openxmlformats.org/package/2006/relationships"><Relationship Id="rId2" Type="http://schemas.openxmlformats.org/officeDocument/2006/relationships/oleObject" Target="file:///E:\INFORME%20FISCAL%20Y%20FINANCIERO\2015\ENTIDADES%20TERRITORIALES%2015\CASABIANCA\Contraloria%20Ejecuciones%20casabianca.xlsx" TargetMode="External"/><Relationship Id="rId1" Type="http://schemas.openxmlformats.org/officeDocument/2006/relationships/image" Target="../media/image3.jpeg"/></Relationships>
</file>

<file path=word/charts/_rels/chart8.xml.rels><?xml version="1.0" encoding="UTF-8" standalone="yes"?>
<Relationships xmlns="http://schemas.openxmlformats.org/package/2006/relationships"><Relationship Id="rId2" Type="http://schemas.openxmlformats.org/officeDocument/2006/relationships/oleObject" Target="file:///E:\INFORME%20FISCAL%20Y%20FINANCIERO\2015\ENTIDADES%20TERRITORIALES%2015\CASABIANCA\Contraloria%20Ejecuciones%20casabianca.xlsx" TargetMode="External"/><Relationship Id="rId1" Type="http://schemas.openxmlformats.org/officeDocument/2006/relationships/image" Target="../media/image3.jpeg"/></Relationships>
</file>

<file path=word/charts/_rels/chart9.xml.rels><?xml version="1.0" encoding="UTF-8" standalone="yes"?>
<Relationships xmlns="http://schemas.openxmlformats.org/package/2006/relationships"><Relationship Id="rId2" Type="http://schemas.openxmlformats.org/officeDocument/2006/relationships/package" Target="../embeddings/Hoja_de_c_lculo_de_Microsoft_Excel5.xlsx"/><Relationship Id="rId1"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5404256378</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7340621371</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444405511</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_(* #,##0_);_(* \(#,##0\);_(* "-"??_);_(@_)</c:formatCode>
                <c:ptCount val="1"/>
                <c:pt idx="0">
                  <c:v>12300472238</c:v>
                </c:pt>
              </c:numCache>
            </c:numRef>
          </c:val>
        </c:ser>
        <c:dLbls>
          <c:showLegendKey val="0"/>
          <c:showVal val="0"/>
          <c:showCatName val="0"/>
          <c:showSerName val="0"/>
          <c:showPercent val="0"/>
          <c:showBubbleSize val="0"/>
        </c:dLbls>
        <c:gapWidth val="150"/>
        <c:shape val="pyramid"/>
        <c:axId val="-771759152"/>
        <c:axId val="-771772752"/>
        <c:axId val="-772196688"/>
      </c:bar3DChart>
      <c:catAx>
        <c:axId val="-771759152"/>
        <c:scaling>
          <c:orientation val="minMax"/>
        </c:scaling>
        <c:delete val="0"/>
        <c:axPos val="b"/>
        <c:numFmt formatCode="General" sourceLinked="0"/>
        <c:majorTickMark val="out"/>
        <c:minorTickMark val="none"/>
        <c:tickLblPos val="nextTo"/>
        <c:crossAx val="-771772752"/>
        <c:crosses val="autoZero"/>
        <c:auto val="1"/>
        <c:lblAlgn val="ctr"/>
        <c:lblOffset val="100"/>
        <c:noMultiLvlLbl val="0"/>
      </c:catAx>
      <c:valAx>
        <c:axId val="-771772752"/>
        <c:scaling>
          <c:orientation val="minMax"/>
        </c:scaling>
        <c:delete val="0"/>
        <c:axPos val="l"/>
        <c:majorGridlines/>
        <c:numFmt formatCode="_(* #,##0_);_(* \(#,##0\);_(* &quot;-&quot;??_);_(@_)" sourceLinked="1"/>
        <c:majorTickMark val="out"/>
        <c:minorTickMark val="none"/>
        <c:tickLblPos val="nextTo"/>
        <c:crossAx val="-771759152"/>
        <c:crosses val="autoZero"/>
        <c:crossBetween val="between"/>
      </c:valAx>
      <c:serAx>
        <c:axId val="-772196688"/>
        <c:scaling>
          <c:orientation val="minMax"/>
        </c:scaling>
        <c:delete val="0"/>
        <c:axPos val="b"/>
        <c:majorTickMark val="out"/>
        <c:minorTickMark val="none"/>
        <c:tickLblPos val="nextTo"/>
        <c:crossAx val="-771772752"/>
        <c:crosses val="autoZero"/>
      </c:ser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pPr>
            <a:r>
              <a:rPr lang="es-CO"/>
              <a:t>PRESUPUESTO INICIAL</a:t>
            </a:r>
          </a:p>
        </c:rich>
      </c:tx>
      <c:layout/>
      <c:overlay val="0"/>
    </c:title>
    <c:autoTitleDeleted val="0"/>
    <c:plotArea>
      <c:layout/>
      <c:pieChart>
        <c:varyColors val="1"/>
        <c:ser>
          <c:idx val="0"/>
          <c:order val="0"/>
          <c:explosion val="25"/>
          <c:dLbls>
            <c:dLbl>
              <c:idx val="0"/>
              <c:layout/>
              <c:tx>
                <c:rich>
                  <a:bodyPr/>
                  <a:lstStyle/>
                  <a:p>
                    <a:r>
                      <a:rPr lang="en-US"/>
                      <a:t>4.98%</a:t>
                    </a:r>
                  </a:p>
                </c:rich>
              </c:tx>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1.2352580927384078E-2"/>
                  <c:y val="4.9505686789151356E-2"/>
                </c:manualLayout>
              </c:layout>
              <c:tx>
                <c:rich>
                  <a:bodyPr/>
                  <a:lstStyle/>
                  <a:p>
                    <a:r>
                      <a:rPr lang="en-US"/>
                      <a:t>3.61%</a:t>
                    </a:r>
                  </a:p>
                </c:rich>
              </c:tx>
              <c:showLegendKey val="0"/>
              <c:showVal val="0"/>
              <c:showCatName val="0"/>
              <c:showSerName val="0"/>
              <c:showPercent val="1"/>
              <c:showBubbleSize val="0"/>
              <c:extLst>
                <c:ext xmlns:c15="http://schemas.microsoft.com/office/drawing/2012/chart" uri="{CE6537A1-D6FC-4f65-9D91-7224C49458BB}">
                  <c15:layout/>
                </c:ext>
              </c:extLst>
            </c:dLbl>
            <c:dLbl>
              <c:idx val="2"/>
              <c:layout/>
              <c:tx>
                <c:rich>
                  <a:bodyPr/>
                  <a:lstStyle/>
                  <a:p>
                    <a:r>
                      <a:rPr lang="en-US"/>
                      <a:t>91.41%</a:t>
                    </a:r>
                  </a:p>
                </c:rich>
              </c:tx>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'GRAFICO INGRESOS'!$B$4:$B$6</c:f>
              <c:strCache>
                <c:ptCount val="3"/>
                <c:pt idx="0">
                  <c:v>INGRESOS TRIBUTARIOS    4.98%</c:v>
                </c:pt>
                <c:pt idx="1">
                  <c:v>INGRESOS NO TRIBUTARIOS  3.61%</c:v>
                </c:pt>
                <c:pt idx="2">
                  <c:v>SISTEMA GENERAL DE PARTICIPACIONES 91.41%</c:v>
                </c:pt>
              </c:strCache>
            </c:strRef>
          </c:cat>
          <c:val>
            <c:numRef>
              <c:f>'GRAFICO INGRESOS'!$C$4:$C$6</c:f>
              <c:numCache>
                <c:formatCode>0.00%</c:formatCode>
                <c:ptCount val="3"/>
                <c:pt idx="0">
                  <c:v>4.9799999999999997E-2</c:v>
                </c:pt>
                <c:pt idx="1">
                  <c:v>3.61E-2</c:v>
                </c:pt>
                <c:pt idx="2">
                  <c:v>0.91410000000000002</c:v>
                </c:pt>
              </c:numCache>
            </c:numRef>
          </c:val>
        </c:ser>
        <c:dLbls>
          <c:showLegendKey val="0"/>
          <c:showVal val="0"/>
          <c:showCatName val="0"/>
          <c:showSerName val="0"/>
          <c:showPercent val="1"/>
          <c:showBubbleSize val="0"/>
          <c:showLeaderLines val="1"/>
        </c:dLbls>
        <c:firstSliceAng val="0"/>
      </c:pieChart>
    </c:plotArea>
    <c:legend>
      <c:legendPos val="r"/>
      <c:layout/>
      <c:overlay val="0"/>
    </c:legend>
    <c:plotVisOnly val="1"/>
    <c:dispBlanksAs val="gap"/>
    <c:showDLblsOverMax val="0"/>
  </c:chart>
  <c:spPr>
    <a:pattFill prst="pct75">
      <a:fgClr>
        <a:schemeClr val="accent1"/>
      </a:fgClr>
      <a:bgClr>
        <a:schemeClr val="bg1"/>
      </a:bgClr>
    </a:patt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a:pPr>
            <a:r>
              <a:rPr lang="es-CO"/>
              <a:t>MODIFICACIONES AL PRESUPUESTO</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cat>
            <c:strRef>
              <c:f>'GRAFICO INGRESOS'!$B$21:$B$24</c:f>
              <c:strCache>
                <c:ptCount val="4"/>
                <c:pt idx="0">
                  <c:v>ING. TRIBUTARIOS</c:v>
                </c:pt>
                <c:pt idx="1">
                  <c:v>ING. NO TRIBUTARIOS</c:v>
                </c:pt>
                <c:pt idx="2">
                  <c:v>SISTEMA GENERAL </c:v>
                </c:pt>
                <c:pt idx="3">
                  <c:v>RECURSOS DE CAPITAL</c:v>
                </c:pt>
              </c:strCache>
            </c:strRef>
          </c:cat>
          <c:val>
            <c:numRef>
              <c:f>'GRAFICO INGRESOS'!$C$21:$C$24</c:f>
              <c:numCache>
                <c:formatCode>_(* #,##0.00_);_(* \(#,##0.00\);_(* "-"??_);_(@_)</c:formatCode>
                <c:ptCount val="4"/>
                <c:pt idx="0">
                  <c:v>410000000</c:v>
                </c:pt>
                <c:pt idx="1">
                  <c:v>2331000000</c:v>
                </c:pt>
                <c:pt idx="2">
                  <c:v>2704000000</c:v>
                </c:pt>
                <c:pt idx="3">
                  <c:v>1895000000</c:v>
                </c:pt>
              </c:numCache>
            </c:numRef>
          </c:val>
        </c:ser>
        <c:dLbls>
          <c:showLegendKey val="0"/>
          <c:showVal val="0"/>
          <c:showCatName val="0"/>
          <c:showSerName val="0"/>
          <c:showPercent val="0"/>
          <c:showBubbleSize val="0"/>
        </c:dLbls>
        <c:gapWidth val="150"/>
        <c:shape val="box"/>
        <c:axId val="-771770576"/>
        <c:axId val="-771860864"/>
        <c:axId val="0"/>
      </c:bar3DChart>
      <c:catAx>
        <c:axId val="-771770576"/>
        <c:scaling>
          <c:orientation val="minMax"/>
        </c:scaling>
        <c:delete val="0"/>
        <c:axPos val="b"/>
        <c:numFmt formatCode="General" sourceLinked="0"/>
        <c:majorTickMark val="none"/>
        <c:minorTickMark val="none"/>
        <c:tickLblPos val="nextTo"/>
        <c:crossAx val="-771860864"/>
        <c:crosses val="autoZero"/>
        <c:auto val="1"/>
        <c:lblAlgn val="ctr"/>
        <c:lblOffset val="100"/>
        <c:noMultiLvlLbl val="0"/>
      </c:catAx>
      <c:valAx>
        <c:axId val="-771860864"/>
        <c:scaling>
          <c:orientation val="minMax"/>
        </c:scaling>
        <c:delete val="0"/>
        <c:axPos val="l"/>
        <c:majorGridlines/>
        <c:numFmt formatCode="_(* #,##0.00_);_(* \(#,##0.00\);_(* &quot;-&quot;??_);_(@_)" sourceLinked="1"/>
        <c:majorTickMark val="none"/>
        <c:minorTickMark val="none"/>
        <c:tickLblPos val="nextTo"/>
        <c:crossAx val="-77177057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title>
      <c:layout/>
      <c:overlay val="0"/>
    </c:title>
    <c:autoTitleDeleted val="0"/>
    <c:plotArea>
      <c:layout/>
      <c:pieChart>
        <c:varyColors val="1"/>
        <c:ser>
          <c:idx val="0"/>
          <c:order val="0"/>
          <c:tx>
            <c:strRef>
              <c:f>Hoja1!$B$1</c:f>
              <c:strCache>
                <c:ptCount val="1"/>
                <c:pt idx="0">
                  <c:v>PRINCIPALES FUENTES DE FINANCIACION</c:v>
                </c:pt>
              </c:strCache>
            </c:strRef>
          </c:tx>
          <c:explosion val="25"/>
          <c:dLbls>
            <c:dLbl>
              <c:idx val="0"/>
              <c:layout>
                <c:manualLayout>
                  <c:x val="-0.10416138086905803"/>
                  <c:y val="0.11376111468209331"/>
                </c:manualLayout>
              </c:layout>
              <c:tx>
                <c:rich>
                  <a:bodyPr/>
                  <a:lstStyle/>
                  <a:p>
                    <a:r>
                      <a:rPr lang="en-US"/>
                      <a:t>Convenios</a:t>
                    </a:r>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0140164771070285E-2"/>
                  <c:y val="-4.2490224436231181E-3"/>
                </c:manualLayout>
              </c:layout>
              <c:tx>
                <c:rich>
                  <a:bodyPr/>
                  <a:lstStyle/>
                  <a:p>
                    <a:r>
                      <a:rPr lang="en-US"/>
                      <a:t>Ing.</a:t>
                    </a:r>
                    <a:r>
                      <a:rPr lang="en-US" baseline="0"/>
                      <a:t> No Tributarios</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3566637503645375E-2"/>
                  <c:y val="-0.13097715464138412"/>
                </c:manualLayout>
              </c:layout>
              <c:tx>
                <c:rich>
                  <a:bodyPr/>
                  <a:lstStyle/>
                  <a:p>
                    <a:r>
                      <a:rPr lang="en-US"/>
                      <a:t>Ing.</a:t>
                    </a:r>
                    <a:r>
                      <a:rPr lang="en-US" baseline="0"/>
                      <a:t> Tributarios</a:t>
                    </a:r>
                    <a:endParaRPr lang="en-US"/>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5480643044619419E-2"/>
                  <c:y val="-0.12209779581123796"/>
                </c:manualLayout>
              </c:layout>
              <c:tx>
                <c:rich>
                  <a:bodyPr/>
                  <a:lstStyle/>
                  <a:p>
                    <a:r>
                      <a:rPr lang="en-US"/>
                      <a:t>Recursos de</a:t>
                    </a:r>
                  </a:p>
                  <a:p>
                    <a:r>
                      <a:rPr lang="en-US"/>
                      <a:t> Capital</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5376202974628177E-2"/>
                  <c:y val="0.16685380845251485"/>
                </c:manualLayout>
              </c:layout>
              <c:tx>
                <c:rich>
                  <a:bodyPr/>
                  <a:lstStyle/>
                  <a:p>
                    <a:r>
                      <a:rPr lang="en-US"/>
                      <a:t>Sistema</a:t>
                    </a:r>
                    <a:r>
                      <a:rPr lang="en-US" baseline="0"/>
                      <a:t> General de </a:t>
                    </a:r>
                    <a:r>
                      <a:rPr lang="en-US"/>
                      <a:t>Participaciones</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110965296004669E-2"/>
                  <c:y val="0.11526215473065866"/>
                </c:manualLayout>
              </c:layout>
              <c:tx>
                <c:rich>
                  <a:bodyPr/>
                  <a:lstStyle/>
                  <a:p>
                    <a:r>
                      <a:rPr lang="en-US"/>
                      <a:t>Sistema</a:t>
                    </a:r>
                    <a:r>
                      <a:rPr lang="en-US" baseline="0"/>
                      <a:t> General</a:t>
                    </a:r>
                  </a:p>
                  <a:p>
                    <a:r>
                      <a:rPr lang="en-US" baseline="0"/>
                      <a:t>de Regalías</a:t>
                    </a:r>
                    <a:endParaRPr lang="en-US"/>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Hoja1!$A$2:$A$6</c:f>
              <c:strCache>
                <c:ptCount val="5"/>
                <c:pt idx="0">
                  <c:v>Ing. Tributarios  25%</c:v>
                </c:pt>
                <c:pt idx="1">
                  <c:v>Ing. NoTributarios  2%</c:v>
                </c:pt>
                <c:pt idx="2">
                  <c:v>Sistema General de Participaciones  27%</c:v>
                </c:pt>
                <c:pt idx="3">
                  <c:v>Recursos de Capital 26%</c:v>
                </c:pt>
                <c:pt idx="4">
                  <c:v>Transferencias 20%</c:v>
                </c:pt>
              </c:strCache>
            </c:strRef>
          </c:cat>
          <c:val>
            <c:numRef>
              <c:f>Hoja1!$B$2:$B$6</c:f>
              <c:numCache>
                <c:formatCode>General</c:formatCode>
                <c:ptCount val="5"/>
                <c:pt idx="0">
                  <c:v>5933</c:v>
                </c:pt>
                <c:pt idx="1">
                  <c:v>515</c:v>
                </c:pt>
                <c:pt idx="2">
                  <c:v>6043</c:v>
                </c:pt>
                <c:pt idx="3">
                  <c:v>6043</c:v>
                </c:pt>
                <c:pt idx="4">
                  <c:v>4707</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4928277194517356"/>
          <c:y val="0.12281183602049744"/>
          <c:w val="0.2229394502770487"/>
          <c:h val="0.83353737032870889"/>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PRESUPUESTO INICIAL GASTOS</a:t>
            </a:r>
          </a:p>
        </c:rich>
      </c:tx>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Hoja1!$B$1</c:f>
              <c:strCache>
                <c:ptCount val="1"/>
                <c:pt idx="0">
                  <c:v>Columna1</c:v>
                </c:pt>
              </c:strCache>
            </c:strRef>
          </c:tx>
          <c:explosion val="25"/>
          <c:dLbls>
            <c:dLbl>
              <c:idx val="0"/>
              <c:layout>
                <c:manualLayout>
                  <c:x val="0.13867700131233596"/>
                  <c:y val="0.18715606379249913"/>
                </c:manualLayout>
              </c:layout>
              <c:tx>
                <c:rich>
                  <a:bodyPr/>
                  <a:lstStyle/>
                  <a:p>
                    <a:r>
                      <a:rPr lang="en-US"/>
                      <a:t>Gastos de Funcionamiento   11.39%</a:t>
                    </a:r>
                  </a:p>
                </c:rich>
              </c:tx>
              <c:showLegendKey val="0"/>
              <c:showVal val="0"/>
              <c:showCatName val="1"/>
              <c:showSerName val="0"/>
              <c:showPercent val="0"/>
              <c:showBubbleSize val="0"/>
              <c:extLst>
                <c:ext xmlns:c15="http://schemas.microsoft.com/office/drawing/2012/chart" uri="{CE6537A1-D6FC-4f65-9D91-7224C49458BB}">
                  <c15:layout/>
                </c:ext>
              </c:extLst>
            </c:dLbl>
            <c:dLbl>
              <c:idx val="1"/>
              <c:layout>
                <c:manualLayout>
                  <c:x val="9.2698469306354586E-2"/>
                  <c:y val="-0.26619343700568315"/>
                </c:manualLayout>
              </c:layout>
              <c:showLegendKey val="0"/>
              <c:showVal val="0"/>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0"/>
            <c:showBubbleSize val="0"/>
            <c:showLeaderLines val="1"/>
            <c:extLst>
              <c:ext xmlns:c15="http://schemas.microsoft.com/office/drawing/2012/chart" uri="{CE6537A1-D6FC-4f65-9D91-7224C49458BB}"/>
            </c:extLst>
          </c:dLbls>
          <c:cat>
            <c:strRef>
              <c:f>Hoja1!$A$2:$A$3</c:f>
              <c:strCache>
                <c:ptCount val="2"/>
                <c:pt idx="0">
                  <c:v>Gastos de Funcionamiento   11.39%</c:v>
                </c:pt>
                <c:pt idx="1">
                  <c:v>Gastos de Inversión   88.60%</c:v>
                </c:pt>
              </c:strCache>
            </c:strRef>
          </c:cat>
          <c:val>
            <c:numRef>
              <c:f>Hoja1!$B$2:$B$3</c:f>
              <c:numCache>
                <c:formatCode>General</c:formatCode>
                <c:ptCount val="2"/>
                <c:pt idx="0">
                  <c:v>616</c:v>
                </c:pt>
                <c:pt idx="1">
                  <c:v>4788</c:v>
                </c:pt>
              </c:numCache>
            </c:numRef>
          </c:val>
        </c:ser>
        <c:dLbls>
          <c:showLegendKey val="0"/>
          <c:showVal val="0"/>
          <c:showCatName val="1"/>
          <c:showSerName val="0"/>
          <c:showPercent val="0"/>
          <c:showBubbleSize val="0"/>
          <c:showLeaderLines val="1"/>
        </c:dLbls>
      </c:pie3DChart>
      <c:spPr>
        <a:pattFill prst="dashUpDiag">
          <a:fgClr>
            <a:schemeClr val="accent1"/>
          </a:fgClr>
          <a:bgClr>
            <a:schemeClr val="bg1"/>
          </a:bgClr>
        </a:pattFill>
      </c:spPr>
    </c:plotArea>
    <c:plotVisOnly val="1"/>
    <c:dispBlanksAs val="gap"/>
    <c:showDLblsOverMax val="0"/>
  </c:chart>
  <c:spPr>
    <a:pattFill prst="weave">
      <a:fgClr>
        <a:schemeClr val="accent1"/>
      </a:fgClr>
      <a:bgClr>
        <a:schemeClr val="bg1"/>
      </a:bgClr>
    </a:patt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GASTOS DE FUNCIONAMIENTO</a:t>
            </a:r>
          </a:p>
        </c:rich>
      </c:tx>
      <c:layout/>
      <c:overlay val="0"/>
    </c:title>
    <c:autoTitleDeleted val="0"/>
    <c:plotArea>
      <c:layout/>
      <c:pieChart>
        <c:varyColors val="1"/>
        <c:ser>
          <c:idx val="0"/>
          <c:order val="0"/>
          <c:tx>
            <c:strRef>
              <c:f>Hoja1!$B$1</c:f>
              <c:strCache>
                <c:ptCount val="1"/>
                <c:pt idx="0">
                  <c:v>Columna1</c:v>
                </c:pt>
              </c:strCache>
            </c:strRef>
          </c:tx>
          <c:dLbls>
            <c:dLbl>
              <c:idx val="0"/>
              <c:layout/>
              <c:tx>
                <c:rich>
                  <a:bodyPr/>
                  <a:lstStyle/>
                  <a:p>
                    <a:r>
                      <a:rPr lang="en-US"/>
                      <a:t>Servicios Personales 
5.73%</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manualLayout>
                  <c:x val="7.6933508311461063E-2"/>
                  <c:y val="2.0592639238734958E-2"/>
                </c:manualLayout>
              </c:layout>
              <c:tx>
                <c:rich>
                  <a:bodyPr/>
                  <a:lstStyle/>
                  <a:p>
                    <a:r>
                      <a:rPr lang="en-US"/>
                      <a:t>Gastos Generales
1.31%</a:t>
                    </a:r>
                  </a:p>
                </c:rich>
              </c:tx>
              <c:showLegendKey val="0"/>
              <c:showVal val="0"/>
              <c:showCatName val="1"/>
              <c:showSerName val="0"/>
              <c:showPercent val="1"/>
              <c:showBubbleSize val="0"/>
              <c:extLst>
                <c:ext xmlns:c15="http://schemas.microsoft.com/office/drawing/2012/chart" uri="{CE6537A1-D6FC-4f65-9D91-7224C49458BB}">
                  <c15:layout/>
                </c:ext>
              </c:extLst>
            </c:dLbl>
            <c:dLbl>
              <c:idx val="2"/>
              <c:layout>
                <c:manualLayout>
                  <c:x val="9.4443715368912218E-2"/>
                  <c:y val="0.11234921634480828"/>
                </c:manualLayout>
              </c:layout>
              <c:tx>
                <c:rich>
                  <a:bodyPr/>
                  <a:lstStyle/>
                  <a:p>
                    <a:r>
                      <a:rPr lang="en-US"/>
                      <a:t>Transferencias
0.92%</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Hoja1!$A$2:$A$4</c:f>
              <c:strCache>
                <c:ptCount val="3"/>
                <c:pt idx="0">
                  <c:v>Servicios Personales </c:v>
                </c:pt>
                <c:pt idx="1">
                  <c:v>Gastos Generales</c:v>
                </c:pt>
                <c:pt idx="2">
                  <c:v>Transferencias</c:v>
                </c:pt>
              </c:strCache>
            </c:strRef>
          </c:cat>
          <c:val>
            <c:numRef>
              <c:f>Hoja1!$B$2:$B$4</c:f>
              <c:numCache>
                <c:formatCode>General</c:formatCode>
                <c:ptCount val="3"/>
                <c:pt idx="0">
                  <c:v>309</c:v>
                </c:pt>
                <c:pt idx="1">
                  <c:v>70</c:v>
                </c:pt>
                <c:pt idx="2">
                  <c:v>49</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PRESUPUESTO INICIAL DE GASTOS DE INVERSION</a:t>
            </a:r>
          </a:p>
        </c:rich>
      </c:tx>
      <c:layout/>
      <c:overlay val="0"/>
    </c:title>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invertIfNegative val="0"/>
          <c:cat>
            <c:strRef>
              <c:f>'GRAFICO GASTOS'!$C$1:$C$7</c:f>
              <c:strCache>
                <c:ptCount val="7"/>
                <c:pt idx="0">
                  <c:v>SALUD  56.95%</c:v>
                </c:pt>
                <c:pt idx="1">
                  <c:v>SANEAMIENTO BASICO 6.16%</c:v>
                </c:pt>
                <c:pt idx="2">
                  <c:v>TRANSPORTE  5.76%</c:v>
                </c:pt>
                <c:pt idx="3">
                  <c:v>AGROPECUARIO 1.51%</c:v>
                </c:pt>
                <c:pt idx="4">
                  <c:v>DEFENSA   1.44%</c:v>
                </c:pt>
                <c:pt idx="5">
                  <c:v>MEDIO AMBIENTE 1.18%</c:v>
                </c:pt>
                <c:pt idx="6">
                  <c:v>OTROS SECTORES 22.66%</c:v>
                </c:pt>
              </c:strCache>
            </c:strRef>
          </c:cat>
          <c:val>
            <c:numRef>
              <c:f>'GRAFICO GASTOS'!$D$1:$D$7</c:f>
              <c:numCache>
                <c:formatCode>_(* #,##0_);_(* \(#,##0\);_(* "-"_);_(@_)</c:formatCode>
                <c:ptCount val="7"/>
                <c:pt idx="0">
                  <c:v>3077</c:v>
                </c:pt>
                <c:pt idx="1">
                  <c:v>332</c:v>
                </c:pt>
                <c:pt idx="2">
                  <c:v>311</c:v>
                </c:pt>
                <c:pt idx="3">
                  <c:v>81</c:v>
                </c:pt>
                <c:pt idx="4">
                  <c:v>77</c:v>
                </c:pt>
                <c:pt idx="5">
                  <c:v>64</c:v>
                </c:pt>
                <c:pt idx="6">
                  <c:v>846</c:v>
                </c:pt>
              </c:numCache>
            </c:numRef>
          </c:val>
        </c:ser>
        <c:dLbls>
          <c:showLegendKey val="0"/>
          <c:showVal val="0"/>
          <c:showCatName val="0"/>
          <c:showSerName val="0"/>
          <c:showPercent val="0"/>
          <c:showBubbleSize val="0"/>
        </c:dLbls>
        <c:gapWidth val="150"/>
        <c:shape val="box"/>
        <c:axId val="-300309344"/>
        <c:axId val="-300298464"/>
        <c:axId val="0"/>
      </c:bar3DChart>
      <c:catAx>
        <c:axId val="-300309344"/>
        <c:scaling>
          <c:orientation val="minMax"/>
        </c:scaling>
        <c:delete val="0"/>
        <c:axPos val="b"/>
        <c:numFmt formatCode="General" sourceLinked="1"/>
        <c:majorTickMark val="none"/>
        <c:minorTickMark val="none"/>
        <c:tickLblPos val="nextTo"/>
        <c:crossAx val="-300298464"/>
        <c:crosses val="autoZero"/>
        <c:auto val="1"/>
        <c:lblAlgn val="ctr"/>
        <c:lblOffset val="100"/>
        <c:noMultiLvlLbl val="0"/>
      </c:catAx>
      <c:valAx>
        <c:axId val="-300298464"/>
        <c:scaling>
          <c:orientation val="minMax"/>
        </c:scaling>
        <c:delete val="0"/>
        <c:axPos val="l"/>
        <c:majorGridlines/>
        <c:numFmt formatCode="_(* #,##0_);_(* \(#,##0\);_(* &quot;-&quot;_);_(@_)" sourceLinked="1"/>
        <c:majorTickMark val="none"/>
        <c:minorTickMark val="none"/>
        <c:tickLblPos val="nextTo"/>
        <c:crossAx val="-300309344"/>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'GRAFICO GASTOS'!$B$27</c:f>
              <c:strCache>
                <c:ptCount val="1"/>
                <c:pt idx="0">
                  <c:v>Gastos de Funcionamiento</c:v>
                </c:pt>
              </c:strCache>
            </c:strRef>
          </c:tx>
          <c:invertIfNegative val="0"/>
          <c:cat>
            <c:strRef>
              <c:f>'GRAFICO GASTOS'!$C$26:$G$26</c:f>
              <c:strCache>
                <c:ptCount val="5"/>
                <c:pt idx="0">
                  <c:v>Ppto Inicial</c:v>
                </c:pt>
                <c:pt idx="1">
                  <c:v>Adiciones</c:v>
                </c:pt>
                <c:pt idx="2">
                  <c:v>% Adición</c:v>
                </c:pt>
                <c:pt idx="3">
                  <c:v>Reducciones</c:v>
                </c:pt>
                <c:pt idx="4">
                  <c:v>Ppto Definitivo</c:v>
                </c:pt>
              </c:strCache>
            </c:strRef>
          </c:cat>
          <c:val>
            <c:numRef>
              <c:f>'GRAFICO GASTOS'!$C$27:$G$27</c:f>
              <c:numCache>
                <c:formatCode>_(* #,##0_);_(* \(#,##0\);_(* "-"_);_(@_)</c:formatCode>
                <c:ptCount val="5"/>
                <c:pt idx="0">
                  <c:v>615575000</c:v>
                </c:pt>
                <c:pt idx="1">
                  <c:v>446264962.76999998</c:v>
                </c:pt>
                <c:pt idx="2" formatCode="_(* #,##0.00_);_(* \(#,##0.00\);_(* &quot;-&quot;??_);_(@_)">
                  <c:v>72.495628115176871</c:v>
                </c:pt>
                <c:pt idx="3">
                  <c:v>4823939</c:v>
                </c:pt>
                <c:pt idx="4" formatCode="_(* #,##0_);_(* \(#,##0\);_(* &quot;-&quot;??_);_(@_)">
                  <c:v>1057016023.77</c:v>
                </c:pt>
              </c:numCache>
            </c:numRef>
          </c:val>
        </c:ser>
        <c:ser>
          <c:idx val="1"/>
          <c:order val="1"/>
          <c:tx>
            <c:strRef>
              <c:f>'GRAFICO GASTOS'!$B$28</c:f>
              <c:strCache>
                <c:ptCount val="1"/>
                <c:pt idx="0">
                  <c:v>Gastos de Inversión</c:v>
                </c:pt>
              </c:strCache>
            </c:strRef>
          </c:tx>
          <c:invertIfNegative val="0"/>
          <c:cat>
            <c:strRef>
              <c:f>'GRAFICO GASTOS'!$C$26:$G$26</c:f>
              <c:strCache>
                <c:ptCount val="5"/>
                <c:pt idx="0">
                  <c:v>Ppto Inicial</c:v>
                </c:pt>
                <c:pt idx="1">
                  <c:v>Adiciones</c:v>
                </c:pt>
                <c:pt idx="2">
                  <c:v>% Adición</c:v>
                </c:pt>
                <c:pt idx="3">
                  <c:v>Reducciones</c:v>
                </c:pt>
                <c:pt idx="4">
                  <c:v>Ppto Definitivo</c:v>
                </c:pt>
              </c:strCache>
            </c:strRef>
          </c:cat>
          <c:val>
            <c:numRef>
              <c:f>'GRAFICO GASTOS'!$C$28:$G$28</c:f>
              <c:numCache>
                <c:formatCode>_(* #,##0_);_(* \(#,##0\);_(* "-"_);_(@_)</c:formatCode>
                <c:ptCount val="5"/>
                <c:pt idx="0">
                  <c:v>4788681378</c:v>
                </c:pt>
                <c:pt idx="1">
                  <c:v>6899180347.4400005</c:v>
                </c:pt>
                <c:pt idx="2" formatCode="_(* #,##0.00_);_(* \(#,##0.00\);_(* &quot;-&quot;??_);_(@_)">
                  <c:v>144.07265388622397</c:v>
                </c:pt>
                <c:pt idx="3">
                  <c:v>444405511.19999999</c:v>
                </c:pt>
                <c:pt idx="4" formatCode="_(* #,##0_);_(* \(#,##0\);_(* &quot;-&quot;??_);_(@_)">
                  <c:v>11243456214.24</c:v>
                </c:pt>
              </c:numCache>
            </c:numRef>
          </c:val>
        </c:ser>
        <c:dLbls>
          <c:showLegendKey val="0"/>
          <c:showVal val="0"/>
          <c:showCatName val="0"/>
          <c:showSerName val="0"/>
          <c:showPercent val="0"/>
          <c:showBubbleSize val="0"/>
        </c:dLbls>
        <c:gapWidth val="150"/>
        <c:axId val="-300301728"/>
        <c:axId val="-300302816"/>
      </c:barChart>
      <c:catAx>
        <c:axId val="-300301728"/>
        <c:scaling>
          <c:orientation val="minMax"/>
        </c:scaling>
        <c:delete val="0"/>
        <c:axPos val="b"/>
        <c:numFmt formatCode="General" sourceLinked="0"/>
        <c:majorTickMark val="out"/>
        <c:minorTickMark val="none"/>
        <c:tickLblPos val="nextTo"/>
        <c:crossAx val="-300302816"/>
        <c:crosses val="autoZero"/>
        <c:auto val="1"/>
        <c:lblAlgn val="ctr"/>
        <c:lblOffset val="100"/>
        <c:noMultiLvlLbl val="0"/>
      </c:catAx>
      <c:valAx>
        <c:axId val="-300302816"/>
        <c:scaling>
          <c:orientation val="minMax"/>
        </c:scaling>
        <c:delete val="0"/>
        <c:axPos val="l"/>
        <c:majorGridlines/>
        <c:numFmt formatCode="_(* #,##0_);_(* \(#,##0\);_(* &quot;-&quot;_);_(@_)" sourceLinked="1"/>
        <c:majorTickMark val="out"/>
        <c:minorTickMark val="none"/>
        <c:tickLblPos val="nextTo"/>
        <c:crossAx val="-300301728"/>
        <c:crosses val="autoZero"/>
        <c:crossBetween val="between"/>
      </c:valAx>
    </c:plotArea>
    <c:legend>
      <c:legendPos val="r"/>
      <c:layout/>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es-CO"/>
              <a:t>ADICIONES GASTOS DE INVERSION </a:t>
            </a:r>
          </a:p>
        </c:rich>
      </c:tx>
      <c:layout/>
      <c:overlay val="0"/>
    </c:title>
    <c:autoTitleDeleted val="0"/>
    <c:plotArea>
      <c:layout/>
      <c:barChart>
        <c:barDir val="col"/>
        <c:grouping val="clustered"/>
        <c:varyColors val="0"/>
        <c:ser>
          <c:idx val="0"/>
          <c:order val="0"/>
          <c:invertIfNegative val="0"/>
          <c:cat>
            <c:strRef>
              <c:f>'GRAFICO GASTOS'!$C$38:$C$43</c:f>
              <c:strCache>
                <c:ptCount val="6"/>
                <c:pt idx="0">
                  <c:v>Defensa</c:v>
                </c:pt>
                <c:pt idx="1">
                  <c:v>Salud</c:v>
                </c:pt>
                <c:pt idx="2">
                  <c:v>Transporte</c:v>
                </c:pt>
                <c:pt idx="3">
                  <c:v>Educación</c:v>
                </c:pt>
                <c:pt idx="4">
                  <c:v>Gobierno</c:v>
                </c:pt>
                <c:pt idx="5">
                  <c:v>Vivienda</c:v>
                </c:pt>
              </c:strCache>
            </c:strRef>
          </c:cat>
          <c:val>
            <c:numRef>
              <c:f>'GRAFICO GASTOS'!$D$38:$D$43</c:f>
              <c:numCache>
                <c:formatCode>_(* #,##0_);_(* \(#,##0\);_(* "-"_);_(@_)</c:formatCode>
                <c:ptCount val="6"/>
                <c:pt idx="0">
                  <c:v>3294</c:v>
                </c:pt>
                <c:pt idx="1">
                  <c:v>745</c:v>
                </c:pt>
                <c:pt idx="2">
                  <c:v>944</c:v>
                </c:pt>
                <c:pt idx="3">
                  <c:v>2298</c:v>
                </c:pt>
                <c:pt idx="4">
                  <c:v>146</c:v>
                </c:pt>
                <c:pt idx="5">
                  <c:v>250</c:v>
                </c:pt>
              </c:numCache>
            </c:numRef>
          </c:val>
        </c:ser>
        <c:dLbls>
          <c:showLegendKey val="0"/>
          <c:showVal val="0"/>
          <c:showCatName val="0"/>
          <c:showSerName val="0"/>
          <c:showPercent val="0"/>
          <c:showBubbleSize val="0"/>
        </c:dLbls>
        <c:gapWidth val="150"/>
        <c:axId val="-300308256"/>
        <c:axId val="-300309888"/>
      </c:barChart>
      <c:catAx>
        <c:axId val="-300308256"/>
        <c:scaling>
          <c:orientation val="minMax"/>
        </c:scaling>
        <c:delete val="0"/>
        <c:axPos val="b"/>
        <c:numFmt formatCode="General" sourceLinked="0"/>
        <c:majorTickMark val="none"/>
        <c:minorTickMark val="none"/>
        <c:tickLblPos val="nextTo"/>
        <c:crossAx val="-300309888"/>
        <c:crosses val="autoZero"/>
        <c:auto val="1"/>
        <c:lblAlgn val="ctr"/>
        <c:lblOffset val="100"/>
        <c:noMultiLvlLbl val="0"/>
      </c:catAx>
      <c:valAx>
        <c:axId val="-300309888"/>
        <c:scaling>
          <c:orientation val="minMax"/>
        </c:scaling>
        <c:delete val="0"/>
        <c:axPos val="l"/>
        <c:majorGridlines/>
        <c:numFmt formatCode="_(* #,##0_);_(* \(#,##0\);_(* &quot;-&quot;_);_(@_)" sourceLinked="1"/>
        <c:majorTickMark val="none"/>
        <c:minorTickMark val="none"/>
        <c:tickLblPos val="nextTo"/>
        <c:crossAx val="-300308256"/>
        <c:crosses val="autoZero"/>
        <c:crossBetween val="between"/>
      </c:valAx>
    </c:plotArea>
    <c:legend>
      <c:legendPos val="r"/>
      <c:layout/>
      <c:overlay val="0"/>
    </c:legend>
    <c:plotVisOnly val="1"/>
    <c:dispBlanksAs val="gap"/>
    <c:showDLblsOverMax val="0"/>
  </c:chart>
  <c:spPr>
    <a:blipFill>
      <a:blip xmlns:r="http://schemas.openxmlformats.org/officeDocument/2006/relationships" r:embed="rId1"/>
      <a:tile tx="0" ty="0" sx="100000" sy="100000" flip="none" algn="tl"/>
    </a:blipFill>
    <a:ln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ABFE7-2B82-4E12-81C8-BFFCD14C9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9005</TotalTime>
  <Pages>17</Pages>
  <Words>2113</Words>
  <Characters>11626</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USER</cp:lastModifiedBy>
  <cp:revision>268</cp:revision>
  <cp:lastPrinted>2016-12-25T22:25:00Z</cp:lastPrinted>
  <dcterms:created xsi:type="dcterms:W3CDTF">2016-07-21T21:23:00Z</dcterms:created>
  <dcterms:modified xsi:type="dcterms:W3CDTF">2016-12-25T22:25:00Z</dcterms:modified>
</cp:coreProperties>
</file>